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001-35224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Xunlei Limited</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3709 Baishi Road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Nanshan District, Shenzhen, 518000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220"/>
        <w:spacing w:after="0" w:line="207" w:lineRule="exact"/>
        <w:tabs>
          <w:tab w:leader="none" w:pos="60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1" w:name="page2"/>
    <w:bookmarkEnd w:id="1"/>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Release—Xunlei Announces Unaudited Financial Results for the First Quarter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Naijiang (Eric) Zhou</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Naijiang (Eric) Zhou</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175895</wp:posOffset>
            </wp:positionV>
            <wp:extent cx="1156970" cy="5740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569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XUNLEI ANNOUNCES UNAUDITED FINANCIAL RESULTS FOR THE FIRST QUARTER ENDED MARCH 31, 2026</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Shenzhen, China, May 28, 2026 (GLOBE NEWSWIRE) - Xunlei Limited ("Xunlei" or the "Company") (Nasdaq: XNET), a leading technology company providing distributed cloud services in China, today announced its unaudited financial results for the first quarter ended March 31, 2026.</w:t>
      </w:r>
    </w:p>
    <w:p>
      <w:pPr>
        <w:spacing w:after="0" w:line="158"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b w:val="1"/>
          <w:bCs w:val="1"/>
          <w:color w:val="auto"/>
        </w:rPr>
        <w:t>First Quarter 2026 Financial Highlights (results presented herein exclude Shenzhen Onething, discontinued operations, unless specified otherwise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w:t>
      </w:r>
    </w:p>
    <w:p>
      <w:pPr>
        <w:spacing w:after="0" w:line="28" w:lineRule="exact"/>
        <w:rPr>
          <w:sz w:val="20"/>
          <w:szCs w:val="20"/>
          <w:color w:val="auto"/>
        </w:rPr>
      </w:pPr>
    </w:p>
    <w:p>
      <w:pPr>
        <w:ind w:left="380" w:hanging="372"/>
        <w:spacing w:after="0"/>
        <w:tabs>
          <w:tab w:leader="none" w:pos="3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revenues were US$98.6million, representing an increase of 54.1% year-over-year.</w:t>
      </w:r>
    </w:p>
    <w:p>
      <w:pPr>
        <w:spacing w:after="0" w:line="224" w:lineRule="exact"/>
        <w:rPr>
          <w:rFonts w:ascii="Arial" w:cs="Arial" w:eastAsia="Arial" w:hAnsi="Arial"/>
          <w:sz w:val="18"/>
          <w:szCs w:val="18"/>
          <w:b w:val="1"/>
          <w:bCs w:val="1"/>
          <w:color w:val="auto"/>
        </w:rPr>
      </w:pPr>
    </w:p>
    <w:p>
      <w:pPr>
        <w:ind w:left="380" w:hanging="372"/>
        <w:spacing w:after="0"/>
        <w:tabs>
          <w:tab w:leader="none" w:pos="3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Subscription revenues were US$45.0 million, representing an increase of 26.2% year-over-year.</w:t>
      </w:r>
    </w:p>
    <w:p>
      <w:pPr>
        <w:spacing w:after="0" w:line="224" w:lineRule="exact"/>
        <w:rPr>
          <w:rFonts w:ascii="Arial" w:cs="Arial" w:eastAsia="Arial" w:hAnsi="Arial"/>
          <w:sz w:val="18"/>
          <w:szCs w:val="18"/>
          <w:b w:val="1"/>
          <w:bCs w:val="1"/>
          <w:color w:val="auto"/>
        </w:rPr>
      </w:pPr>
    </w:p>
    <w:p>
      <w:pPr>
        <w:ind w:left="380" w:hanging="372"/>
        <w:spacing w:after="0"/>
        <w:tabs>
          <w:tab w:leader="none" w:pos="3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Live-streaming and other services revenues were US$53.6 million, representing an increase of 89.3% year-over-year.</w:t>
      </w:r>
    </w:p>
    <w:p>
      <w:pPr>
        <w:spacing w:after="0" w:line="224" w:lineRule="exact"/>
        <w:rPr>
          <w:rFonts w:ascii="Arial" w:cs="Arial" w:eastAsia="Arial" w:hAnsi="Arial"/>
          <w:sz w:val="18"/>
          <w:szCs w:val="18"/>
          <w:b w:val="1"/>
          <w:bCs w:val="1"/>
          <w:color w:val="auto"/>
        </w:rPr>
      </w:pPr>
    </w:p>
    <w:p>
      <w:pPr>
        <w:ind w:left="380" w:hanging="372"/>
        <w:spacing w:after="0" w:line="281" w:lineRule="auto"/>
        <w:tabs>
          <w:tab w:leader="none" w:pos="3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Gross profit was US$57.7 million, representing an increase of 45.8% year-over-year, and gross profit margin was 58.5% in the first quarter, compared with 61.9% in the same period of 2025.</w:t>
      </w:r>
    </w:p>
    <w:p>
      <w:pPr>
        <w:spacing w:after="0" w:line="162" w:lineRule="exact"/>
        <w:rPr>
          <w:rFonts w:ascii="Arial" w:cs="Arial" w:eastAsia="Arial" w:hAnsi="Arial"/>
          <w:sz w:val="18"/>
          <w:szCs w:val="18"/>
          <w:b w:val="1"/>
          <w:bCs w:val="1"/>
          <w:color w:val="auto"/>
        </w:rPr>
      </w:pPr>
    </w:p>
    <w:p>
      <w:pPr>
        <w:ind w:left="380" w:hanging="372"/>
        <w:spacing w:after="0"/>
        <w:tabs>
          <w:tab w:leader="none" w:pos="3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loss from continuing operations was US$192.4 million in the first quarter, compared with net loss of US$0.2 million in the same period of 2025.</w:t>
      </w:r>
    </w:p>
    <w:p>
      <w:pPr>
        <w:spacing w:after="0" w:line="227" w:lineRule="exact"/>
        <w:rPr>
          <w:rFonts w:ascii="Arial" w:cs="Arial" w:eastAsia="Arial" w:hAnsi="Arial"/>
          <w:sz w:val="18"/>
          <w:szCs w:val="18"/>
          <w:b w:val="1"/>
          <w:bCs w:val="1"/>
          <w:color w:val="auto"/>
        </w:rPr>
      </w:pPr>
    </w:p>
    <w:p>
      <w:pPr>
        <w:ind w:left="380" w:hanging="372"/>
        <w:spacing w:after="0" w:line="216" w:lineRule="auto"/>
        <w:tabs>
          <w:tab w:leader="none" w:pos="3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Non-GAAP net income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from continuing operations was US$4.1 million in the first quarter, compared with non-GAAP net income of US$0.9 million in the same period of 2025.</w:t>
      </w:r>
    </w:p>
    <w:p>
      <w:pPr>
        <w:spacing w:after="0" w:line="198" w:lineRule="exact"/>
        <w:rPr>
          <w:rFonts w:ascii="Arial" w:cs="Arial" w:eastAsia="Arial" w:hAnsi="Arial"/>
          <w:sz w:val="18"/>
          <w:szCs w:val="18"/>
          <w:b w:val="1"/>
          <w:bCs w:val="1"/>
          <w:color w:val="auto"/>
        </w:rPr>
      </w:pPr>
    </w:p>
    <w:p>
      <w:pPr>
        <w:ind w:left="380" w:right="20" w:hanging="372"/>
        <w:spacing w:after="0" w:line="281" w:lineRule="auto"/>
        <w:tabs>
          <w:tab w:leader="none" w:pos="3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Diluted loss per ADS from continuing operations was US$3.06 in the first quarter, compared with diluted earnings per ADS of US$0.00 in the same period of 2025.</w:t>
      </w:r>
    </w:p>
    <w:p>
      <w:pPr>
        <w:spacing w:after="0" w:line="166" w:lineRule="exact"/>
        <w:rPr>
          <w:rFonts w:ascii="Arial" w:cs="Arial" w:eastAsia="Arial" w:hAnsi="Arial"/>
          <w:sz w:val="18"/>
          <w:szCs w:val="18"/>
          <w:b w:val="1"/>
          <w:bCs w:val="1"/>
          <w:color w:val="auto"/>
        </w:rPr>
      </w:pPr>
    </w:p>
    <w:p>
      <w:pPr>
        <w:ind w:left="380" w:hanging="372"/>
        <w:spacing w:after="0" w:line="216" w:lineRule="auto"/>
        <w:tabs>
          <w:tab w:leader="none" w:pos="3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Non-GAAP diluted earnings per ADS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from continuing operations were US$0.07 in the first quarter, compared with non-GAAP diluted earnings per ADS of US$0.02 in the same period of 2025.</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we witnessed meaningful growth, strategic evolution, and strong momentum across Xunlei. We refined our organizational structure to better serve both our teams and users, while concentrating our focus on a user-centered, direct-to-consumer business model”, said Mr. Jinbo Li, Chairman and CEO of Xunlei.</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proud to report total revenue growth of 54.1% year over year—a clear testament to the collaborative progress driving every part of our business. Our subscription business rose 26.2% year over year, fueled by steady user growth and tangible product experience improvements. Meanwhile, our overseas audio live-streaming business continued its rapid expansion, with revenue increasing significantly by 89.3% year over year. This performance reflects not only our team’s agility in product iteration and localized operations but also the growing global trust and resonance of the Xunlei brand— paving the way for more community-driven product updates and partnerships ahead.”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a healthy liquidity, we believe we are well-positioned to continue delivering meaningful value to users. At the same time, we will thoughtfully leverage our innovative technology and operational expertise to pursue new initiatives and emerging opportunities—always with an eye on building sustainable, long-term value for our shareholders,” Mr. Li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1" w:lineRule="exact"/>
        <w:rPr>
          <w:sz w:val="20"/>
          <w:szCs w:val="20"/>
          <w:color w:val="auto"/>
        </w:rPr>
      </w:pPr>
    </w:p>
    <w:p>
      <w:pPr>
        <w:jc w:val="both"/>
        <w:ind w:firstLine="8"/>
        <w:spacing w:after="0" w:line="224" w:lineRule="auto"/>
        <w:tabs>
          <w:tab w:leader="none" w:pos="121"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March 2026, the Company completed the disposal of its 50% stake in Shenzhen Onething Technologies Co., Ltd., or Shenzhen Onething, the operating entity of cloud computing business. The disposal qualified as discontinued operations. According to applicable accounting standards, assets and liabilities related to Shenzhen Onething were reclassified as current assets/liabilities of discontinued operations as of December 31, 2025, while results of operations related to Shenzhen Onething, including comparatives, are reported as income/(loss) from discontinued operations. Figures presented in this release are related to continuing operations only, excluding results from Shenzhen Onething , unless indicated otherwise.</w:t>
      </w:r>
    </w:p>
    <w:p>
      <w:pPr>
        <w:spacing w:after="0" w:line="26" w:lineRule="exact"/>
        <w:rPr>
          <w:sz w:val="20"/>
          <w:szCs w:val="20"/>
          <w:color w:val="auto"/>
        </w:rPr>
      </w:pPr>
    </w:p>
    <w:p>
      <w:pPr>
        <w:ind w:firstLine="8"/>
        <w:spacing w:after="0" w:line="195" w:lineRule="auto"/>
        <w:tabs>
          <w:tab w:leader="none" w:pos="127"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net income is a non-GAAP financial measure. For more information, please see the section of “About Non-GAAP Financial Measures” and the table captioned “Reconciliation of GAAP and Non-GAAP Results” contained in this press release.</w:t>
      </w:r>
    </w:p>
    <w:p>
      <w:pPr>
        <w:spacing w:after="0" w:line="24" w:lineRule="exact"/>
        <w:rPr>
          <w:sz w:val="20"/>
          <w:szCs w:val="20"/>
          <w:color w:val="auto"/>
        </w:rPr>
      </w:pPr>
    </w:p>
    <w:p>
      <w:pPr>
        <w:ind w:firstLine="8"/>
        <w:spacing w:after="0" w:line="195" w:lineRule="auto"/>
        <w:tabs>
          <w:tab w:leader="none" w:pos="158"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earnings per ADS is a non-GAAP financial measure. For more information, please see the section of “About Non-GAAP Financial Measures” and the table captioned “Reconciliation of GAAP and Non-GAAP Results” contained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 (results presented herein exclude Shenzhen Onething, discontinued operations, unless specified otherwise)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revenues were US$98.6 million, representing an increase of 54.1% year-over-year. The increase in total revenues was mainly attributable to the increased revenues generated from our subscription business and overseas audio live-streaming business.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from subscription were US$45.0 million, representing an increase of 26.2% year-over-year. The increase in subscription revenues was mainly driven by the increase in demand for our subscription services.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from live-streaming and other services were US$53.6 million, representing an increase of 89.3% year-over-year. The increase in live-streaming and other services revenues was mainly due to the increase in revenues from our overseas audio live-streaming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Revenues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Costs of revenues were US$40.4 million, representing 41.0% of our total revenues, compared with US$24.1 million, or 37.8% of the total revenues, in the same period of 2025. The increase in costs of revenues was mainly attributable to the increase in revenue-sharing expenses in our overseas audio live-streaming operations, generally in line with the growth in live-streaming and other service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costs of revenues mainly consisted of payment handling charges and bandwidth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Profit Margin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for the first quarter of 2026 was US$57.7 million, representing an increase of 45.8% year-over-year. Gross profit margin was 58.5% in the first quarter of 2026, compared with 61.9% in the same period of 2025. The increase in gross profit was mainly driven by the increase in gross profit generated from our overseas audio live-streaming business and subscription business. The decrease in gross profit margin was mainly attributable to the increased proportion of live-streaming revenues to total revenues, which has lower gross profit margin.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first quarter of 2026 were US$20.2 million, representing 20.4% of our total revenues, compared with US$16.0 million, or 25.1% of our total revenues, in the same period of 2025. The increase was primarily due to the increased technical service fees and labor costs incurred during the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first quarter of 2026 were US$22.4 million, representing 22.8% of our total revenues, compared with US$14.5 million, or 22.7% of our total revenues, in the same period of 2025. The increase was primarily due to more marketing expenses incurred during the quarter for our subscription and overseas audio live-streaming businesses as part of our ongoing efforts on user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first quarter of 2026 were US$10.9 million, representing 11.0% of our total revenues, compared with US$10.0 million, or 15.7% of our total revenues, in the same period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income was US$4.3 million, compared with an operating loss of US$1.0 million in the same period of 2025. The increase in operating income was primarily attributable to the increase in gross profit.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(Losses)/Income,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losses, net was US$195.1 million, compared with other income, net of US$1.1 million in the same period of 2025. The change from other income, net to other loss, net was primarily attributable to the fair value changes of our long-term investment in Arashi Vision Inc., which has been measured at fair value through earnings since its initial public offering in June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Income/(Loss) from Discontinued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from discontinued operations was US$17.7 million, which comprised the operating loss of US$1.8 million from discontinued operations and a disposal gain of Shenzhen Onething of US$4.3 million together with the allocated income tax benefit related to the disposal of US$15.2 million, compared with a loss from discontinued operations of US$0.8 million in the corresponding period of last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and (Loss)/Earnings Per ADS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from continuing operations was US$192.4 million compared with net loss of US$0.2 million in the same period of 2025. The net loss was primarily due to the increase in other losses, net, partially offset by the increased operating income as discussed above. Non-GAAP net income from continuing operations was US$4.1 million in the first quarter of 2026, compared with US$0.9 million in the same period of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loss per ADS from continuing operations in the first quarter of 2026 was US$3.06, compared with diluted earnings per ADS from continuing operations of US$0.00 in the first quarter of 2025. Non-GAAP diluted earnings per ADS from continuing operations was US$0.07 in the first quarter, compared with non-GAAP diluted earnings per ADS from continuing operations of US$0.02 in the same period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cash, cash equivalents and short-term investments of US$303.6 million, compared with US$283.5 million as of December 31, 2025. The increase in cash, cash equivalents and short-term investments was mainly due to the net cash inflow from operating activities and the proceeds from disposal of 50% equity interest in Shenzhen Onething, but partially offset by the payment of deferred consideration for acquisition of Hupu.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Xunlei's management will host a conference call at 8:00 a.m. U.S. Eastern Time on May 28, 2026 (8:00 p.m. Beijing/Hong Kong Time), to discuss the Company's quarterly results and recent business developments.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Online Registration: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https://register-conf.media-server.com/register/BIe6e4f25f2a6e46a89978bb034282601f</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register to join the conference using the link provided above and dial in 10 minutes before the call is scheduled to begin. Once registered, the participants will receive an email with personal PIN and dial-in information, and participants can choose to access either via Dial-In or Call Me. A kindly reminder that "Call Me" does not work for China number.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also broadcast a live audio webcast of the conference call. The webcast will be available at http://ir.xunlei.com. Following the earnings conference call, an archive of the call will be available at https://edge.media-server.com/mmc/p/g2ngg7tn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Xunlei</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Founded in 2003, Xunlei Limited (Nasdaq: XNET) is a leading technology company providing distributed cloud services in China. Xunlei provides a wide range of products and services across cloud acceleration and digital entertainment to deliver an efficient, smart and safe internet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of a forward-looking nature. These statements are made under the "safe harbor" provisions of the U.S. Private Securities Litigation Reform Act of 1995. You can identify these forward-looking statements by terminology such as "will," "expects," "believes," "anticipates," "future," "intends," "plans," "estimates" and similar statements. Among other things, the management's quotations in this press release, as well as the Company's strategic, operational and acquisition plans, contain forward-looking statements. These forward-looking statements involve known and unknown risks and uncertainties and are based on current expectations, assumptions, estimates and projections about the Company and the industry. Forward-looking statements involve inherent risks and uncertainties, including but not limited to: the Company's ability to continue to innovate and provide attractive products and services to retain and grow its user base; the Company's ability to keep up with technological developments and users' changing demands in the internet industry; the Company's ability to convert its users into subscribers of its premium services; the Company's ability to deal with existing and potential copyright infringement claims and other related claims; the Company’s ability to react to the governmental actions for its scrutiny of internet content in China and the Company's ability to compete effectively.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the Company is included in the Company's filings with the U.S. Securities and Exchange Commission. All information provided in this press release is as of the date of the press release, and the Company undertakes no obligation to update any forward-looking statements to reflect subsequent occurring events or circumstances, or changes in its expectations, except as may be required by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Xunlei's consolidated financial results presented in accordance with United States Generally Accepted Accounting Principles ("GAAP"), Xunlei uses the following measures defined as non-GAAP financial measures by the United States Securities and Exchange Commission: (1) non-GAAP operating income, (2) non-GAAP net income from continuing operations, (3) non-GAAP basic and diluted earnings per share for common shares from continuing operations, and (4) non-GAAP basic and diluted earnings per ADS attributable to continuing operations. The presentation of the non-GAAP financial information is not intended to be considered in isolation or as a substitute for the financial information prepared and presented in accordance with GAAP.</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Xunlei believes that these non-GAAP financial measures provide meaningful supplemental information to investors regarding the Company's operating performance by excluding share-based compensation expenses, impairment of goodwill, and fair value changes of long-term investments, which are not expected to result in future cash payments, may recur from period to period but are subject to significant market volatility, and which are not indicative of our core operating results and business outlook. These non-GAAP financial measures also facilitate management's internal comparisons to Xunlei's historical performance and assist the Company's financial and operational decision making. A limitation of using these non-GAAP financial measures is that these non-GAAP measures exclude certain items that have been and will continue to be for the foreseeable future a recurring expense in Xunlei's results of operations. Management compensates for these limitations by providing specific information regarding the GAAP amounts excluded from each non-GAAP measure. The accompanying reconciliation tables at the end of this release include details on the reconciliations between GAAP financial measures that are most directly comparable to the non-GAAP financial measures the Company has presented, excluding discontinued operations.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not recast prior period non-GAAP measures in the first quarter of 2025 to exclude fair value changes of long-term investments, as such amounts in prior period was immaterial and would not affect investors’ understanding of period-to-period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UNAUDITED CONDENSED CONSOLIDATED BALANCE SHEETS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(Amounts expressed in thousands of USD, except for share, per share (or ADS)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 31,</w:t>
            </w:r>
          </w:p>
        </w:tc>
      </w:tr>
      <w:tr>
        <w:trPr>
          <w:trHeight w:val="238"/>
        </w:trPr>
        <w:tc>
          <w:tcPr>
            <w:tcW w:w="84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84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125,941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144,559</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177,647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138,895</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25,856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26,136</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13,241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11,152</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11,659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11,397</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71,354</w:t>
            </w:r>
          </w:p>
        </w:tc>
      </w:tr>
      <w:tr>
        <w:trPr>
          <w:trHeight w:val="209"/>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354,731</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403,877</w:t>
            </w:r>
          </w:p>
        </w:tc>
        <w:tc>
          <w:tcPr>
            <w:tcW w:w="10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888,631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1,070,596</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24,456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10,083</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50,708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50,662</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32,331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32,717</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39,783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39,164</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a related party, non-current portion</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19,824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19,826</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prepayments and other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2,315</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1,877</w:t>
            </w:r>
          </w:p>
        </w:tc>
      </w:tr>
      <w:tr>
        <w:trPr>
          <w:trHeight w:val="26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1,414,995</w:t>
            </w:r>
          </w:p>
        </w:tc>
        <w:tc>
          <w:tcPr>
            <w:tcW w:w="2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1,631,923</w:t>
            </w:r>
          </w:p>
        </w:tc>
        <w:tc>
          <w:tcPr>
            <w:tcW w:w="100" w:type="dxa"/>
            <w:vAlign w:val="bottom"/>
            <w:tcBorders>
              <w:bottom w:val="single" w:sz="8" w:color="CCEEFF"/>
            </w:tcBorders>
          </w:tcPr>
          <w:p>
            <w:pPr>
              <w:spacing w:after="0"/>
              <w:rPr>
                <w:sz w:val="22"/>
                <w:szCs w:val="22"/>
                <w:color w:val="auto"/>
              </w:rPr>
            </w:pPr>
          </w:p>
        </w:tc>
      </w:tr>
      <w:tr>
        <w:trPr>
          <w:trHeight w:val="196"/>
        </w:trPr>
        <w:tc>
          <w:tcPr>
            <w:tcW w:w="8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19,594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18,837</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parties, current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current portion</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44,345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42,817</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3,975</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and other payables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68,679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75,367</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Short-term bank borrowings and current portion of long-term bank borrowings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30,571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30,095</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of discontinued operations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36,872</w:t>
            </w:r>
          </w:p>
        </w:tc>
      </w:tr>
      <w:tr>
        <w:trPr>
          <w:trHeight w:val="21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167,972</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208,458</w:t>
            </w:r>
          </w:p>
        </w:tc>
        <w:tc>
          <w:tcPr>
            <w:tcW w:w="10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non-current portion</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non-current portion</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1,243</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6,138</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Bank borrowings, non-current portion</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39,021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38,413</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payables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3,530</w:t>
            </w:r>
          </w:p>
        </w:tc>
      </w:tr>
      <w:tr>
        <w:trPr>
          <w:trHeight w:val="21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219,292</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259,406</w:t>
            </w:r>
          </w:p>
        </w:tc>
        <w:tc>
          <w:tcPr>
            <w:tcW w:w="10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(US$0.00025 par value, 1,000,000,000 shares authorized, 375,001,940 shares issued and</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314,277,001 shares outstanding as at December 31, 2025; 375,001,940 issued and 318,268,921 shares outstanding</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March 31, 2026)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474,445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480,133</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(13,838)</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(17,413)</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9,687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9,687</w:t>
            </w:r>
          </w:p>
        </w:tc>
      </w:tr>
      <w:tr>
        <w:trPr>
          <w:trHeight w:val="198"/>
        </w:trPr>
        <w:tc>
          <w:tcPr>
            <w:tcW w:w="8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shares (60,724,939 shares and 56,733,019 shares as at December 31, 2025 and March 31, 2026,</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726,353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900,991</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Xunlei Limited's shareholders' equity</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1,196,740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1,373,491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(1,037)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(974)</w:t>
            </w: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1,414,995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1,631,923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96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expressed in thousands of USD, except for share, per share (or ADS)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6980" w:type="dxa"/>
            <w:vAlign w:val="bottom"/>
          </w:tcPr>
          <w:p>
            <w:pPr>
              <w:spacing w:after="0"/>
              <w:rPr>
                <w:sz w:val="17"/>
                <w:szCs w:val="17"/>
                <w:color w:val="auto"/>
              </w:rPr>
            </w:pPr>
          </w:p>
        </w:tc>
        <w:tc>
          <w:tcPr>
            <w:tcW w:w="1480" w:type="dxa"/>
            <w:vAlign w:val="bottom"/>
            <w:gridSpan w:val="2"/>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44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12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00" w:type="dxa"/>
            <w:vAlign w:val="bottom"/>
          </w:tcPr>
          <w:p>
            <w:pPr>
              <w:spacing w:after="0"/>
              <w:rPr>
                <w:sz w:val="17"/>
                <w:szCs w:val="17"/>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 of rebates and discounts</w:t>
            </w:r>
          </w:p>
        </w:tc>
        <w:tc>
          <w:tcPr>
            <w:tcW w:w="1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98,594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96,834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63,969</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Business taxes and surcharges</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(489)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98,105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(40,408)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(41,190)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(24,149)</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57,697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54,994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39,578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298"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Credit loss expenses,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(losses)/income, net</w:t>
      </w:r>
    </w:p>
    <w:p>
      <w:pPr>
        <w:spacing w:after="0" w:line="9" w:lineRule="exact"/>
        <w:rPr>
          <w:sz w:val="20"/>
          <w:szCs w:val="20"/>
          <w:color w:val="auto"/>
        </w:rPr>
      </w:pPr>
    </w:p>
    <w:p>
      <w:pPr>
        <w:ind w:right="148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(Loss)/income before income taxes from continuing operations </w:t>
      </w:r>
      <w:r>
        <w:rPr>
          <w:rFonts w:ascii="Times New Roman" w:cs="Times New Roman" w:eastAsia="Times New Roman" w:hAnsi="Times New Roman"/>
          <w:sz w:val="18"/>
          <w:szCs w:val="18"/>
          <w:color w:val="auto"/>
        </w:rPr>
        <w:t>Income tax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Net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(20,160)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(19,444)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(16,043)</w:t>
            </w:r>
          </w:p>
        </w:tc>
      </w:tr>
      <w:tr>
        <w:trPr>
          <w:trHeight w:val="216"/>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(22,437)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(21,985)</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(14,499)</w:t>
            </w:r>
          </w:p>
        </w:tc>
      </w:tr>
      <w:tr>
        <w:trPr>
          <w:trHeight w:val="229"/>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(10,885)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(10,770)</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(10,032)</w:t>
            </w:r>
          </w:p>
        </w:tc>
      </w:tr>
      <w:tr>
        <w:trPr>
          <w:trHeight w:val="234"/>
        </w:trPr>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(53,401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(51,582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(40,544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4,296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3,413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r>
      <w:tr>
        <w:trPr>
          <w:trHeight w:val="191"/>
        </w:trPr>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771</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508</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1,060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48"/>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(195,078)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(232,708)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40" w:type="dxa"/>
            <w:vAlign w:val="bottom"/>
          </w:tcPr>
          <w:p>
            <w:pPr>
              <w:spacing w:after="0"/>
              <w:rPr>
                <w:sz w:val="21"/>
                <w:szCs w:val="21"/>
                <w:color w:val="auto"/>
              </w:rPr>
            </w:pPr>
          </w:p>
        </w:tc>
      </w:tr>
      <w:tr>
        <w:trPr>
          <w:trHeight w:val="209"/>
        </w:trPr>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(190,540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(229,300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990</w:t>
            </w:r>
          </w:p>
        </w:tc>
        <w:tc>
          <w:tcPr>
            <w:tcW w:w="40" w:type="dxa"/>
            <w:vAlign w:val="bottom"/>
          </w:tcPr>
          <w:p>
            <w:pPr>
              <w:spacing w:after="0"/>
              <w:rPr>
                <w:sz w:val="18"/>
                <w:szCs w:val="18"/>
                <w:color w:val="auto"/>
              </w:rPr>
            </w:pP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(192,390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(229,860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6260" w:space="720"/>
            <w:col w:w="4260"/>
          </w:cols>
          <w:pgMar w:left="320" w:top="900" w:right="339" w:bottom="298"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right="1620"/>
        <w:spacing w:after="0" w:line="250" w:lineRule="auto"/>
        <w:rPr>
          <w:sz w:val="20"/>
          <w:szCs w:val="20"/>
          <w:color w:val="auto"/>
        </w:rPr>
      </w:pPr>
      <w:r>
        <w:rPr>
          <w:rFonts w:ascii="Times New Roman" w:cs="Times New Roman" w:eastAsia="Times New Roman" w:hAnsi="Times New Roman"/>
          <w:sz w:val="18"/>
          <w:szCs w:val="18"/>
          <w:color w:val="auto"/>
        </w:rPr>
        <w:t>Income/(loss) from discontinued operations before income taxes Income tax benefits/(expenses)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(Loss)/earnings per share for common shares,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loss per share for common shares,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(Loss)/earnings per share for common shares,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loss per share for common shares,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(Loss)/earnings per ADS,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loss per ADS, basic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48"/>
        </w:trPr>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15,211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10"/>
        </w:trPr>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17,723</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962</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(174,667)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(228,898)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(946)</w:t>
            </w:r>
          </w:p>
        </w:tc>
        <w:tc>
          <w:tcPr>
            <w:tcW w:w="0" w:type="dxa"/>
            <w:vAlign w:val="bottom"/>
          </w:tcPr>
          <w:p>
            <w:pPr>
              <w:spacing w:after="0"/>
              <w:rPr>
                <w:sz w:val="1"/>
                <w:szCs w:val="1"/>
                <w:color w:val="auto"/>
              </w:rPr>
            </w:pPr>
          </w:p>
        </w:tc>
      </w:tr>
      <w:tr>
        <w:trPr>
          <w:trHeight w:val="248"/>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(174,638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(228,777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623"/>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(0.6110)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(0.7313)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0.0563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0.0031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(0.0026)</w:t>
            </w:r>
          </w:p>
        </w:tc>
        <w:tc>
          <w:tcPr>
            <w:tcW w:w="0" w:type="dxa"/>
            <w:vAlign w:val="bottom"/>
          </w:tcPr>
          <w:p>
            <w:pPr>
              <w:spacing w:after="0"/>
              <w:rPr>
                <w:sz w:val="1"/>
                <w:szCs w:val="1"/>
                <w:color w:val="auto"/>
              </w:rPr>
            </w:pP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(0.5547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(0.7282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(0.0026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623"/>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(0.6110)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(0.7313)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0.0563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0.0031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(0.0026)</w:t>
            </w:r>
          </w:p>
        </w:tc>
        <w:tc>
          <w:tcPr>
            <w:tcW w:w="0" w:type="dxa"/>
            <w:vAlign w:val="bottom"/>
          </w:tcPr>
          <w:p>
            <w:pPr>
              <w:spacing w:after="0"/>
              <w:rPr>
                <w:sz w:val="1"/>
                <w:szCs w:val="1"/>
                <w:color w:val="auto"/>
              </w:rPr>
            </w:pP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(0.5547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(0.7282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(0.0026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623"/>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(3.0550)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(3.6563)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0.2815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0.0153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(0.0129)</w:t>
            </w:r>
          </w:p>
        </w:tc>
        <w:tc>
          <w:tcPr>
            <w:tcW w:w="0" w:type="dxa"/>
            <w:vAlign w:val="bottom"/>
          </w:tcPr>
          <w:p>
            <w:pPr>
              <w:spacing w:after="0"/>
              <w:rPr>
                <w:sz w:val="1"/>
                <w:szCs w:val="1"/>
                <w:color w:val="auto"/>
              </w:rPr>
            </w:pPr>
          </w:p>
        </w:tc>
      </w:tr>
      <w:tr>
        <w:trPr>
          <w:trHeight w:val="209"/>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(0.0129</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260" w:space="720"/>
            <w:col w:w="4260"/>
          </w:cols>
          <w:pgMar w:left="320" w:top="900" w:right="339" w:bottom="298"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(Loss)/earnings per ADS, diluted</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(3.0550)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(3.6563)</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0.0000</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0.2815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0.0153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(0.0129)</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 per ADS, diluted</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(0.0129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used in calculating:</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314,813,023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314,173,741</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306,082,940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314,813,023</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314,173,741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306,082,940</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ADSs used in calculating:</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62,962,605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62,834,748</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61,216,588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62,962,605</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62,834,748</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61,216,588</w:t>
            </w:r>
          </w:p>
        </w:tc>
      </w:tr>
      <w:tr>
        <w:trPr>
          <w:trHeight w:val="459"/>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298" w:gutter="0" w:footer="0" w:header="0"/>
          <w:type w:val="continuous"/>
        </w:sectPr>
      </w:pPr>
    </w:p>
    <w:bookmarkStart w:id="9" w:name="page10"/>
    <w:bookmarkEnd w:id="9"/>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XUNLEI LIMITED</w:t>
      </w:r>
    </w:p>
    <w:p>
      <w:pPr>
        <w:jc w:val="center"/>
        <w:ind w:right="-259"/>
        <w:spacing w:after="0" w:line="208" w:lineRule="auto"/>
        <w:rPr>
          <w:sz w:val="20"/>
          <w:szCs w:val="20"/>
          <w:color w:val="auto"/>
        </w:rPr>
      </w:pPr>
      <w:r>
        <w:rPr>
          <w:rFonts w:ascii="Times New Roman" w:cs="Times New Roman" w:eastAsia="Times New Roman" w:hAnsi="Times New Roman"/>
          <w:sz w:val="18"/>
          <w:szCs w:val="18"/>
          <w:color w:val="auto"/>
        </w:rPr>
        <w:t xml:space="preserve">Reconciliation of GAAP and Non-GAAP Results (Excluding discontinued operations) </w:t>
      </w:r>
      <w:r>
        <w:rPr>
          <w:rFonts w:ascii="Times New Roman" w:cs="Times New Roman" w:eastAsia="Times New Roman" w:hAnsi="Times New Roman"/>
          <w:sz w:val="29"/>
          <w:szCs w:val="29"/>
          <w:color w:val="auto"/>
          <w:vertAlign w:val="superscript"/>
        </w:rPr>
        <w:t>4</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(Amounts expressed in thousands of USD, except for share, per share (or ADS)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6760" w:type="dxa"/>
            <w:vAlign w:val="bottom"/>
          </w:tcPr>
          <w:p>
            <w:pPr>
              <w:spacing w:after="0"/>
              <w:rPr>
                <w:sz w:val="17"/>
                <w:szCs w:val="17"/>
                <w:color w:val="auto"/>
              </w:rPr>
            </w:pPr>
          </w:p>
        </w:tc>
        <w:tc>
          <w:tcPr>
            <w:tcW w:w="136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rPr>
              <w:t>Mar 31,</w:t>
            </w:r>
          </w:p>
        </w:tc>
        <w:tc>
          <w:tcPr>
            <w:tcW w:w="240" w:type="dxa"/>
            <w:vAlign w:val="bottom"/>
          </w:tcPr>
          <w:p>
            <w:pPr>
              <w:spacing w:after="0"/>
              <w:rPr>
                <w:sz w:val="17"/>
                <w:szCs w:val="17"/>
                <w:color w:val="auto"/>
              </w:rPr>
            </w:pPr>
          </w:p>
        </w:tc>
        <w:tc>
          <w:tcPr>
            <w:tcW w:w="154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12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00" w:type="dxa"/>
            <w:vAlign w:val="bottom"/>
          </w:tcPr>
          <w:p>
            <w:pPr>
              <w:spacing w:after="0"/>
              <w:rPr>
                <w:sz w:val="17"/>
                <w:szCs w:val="17"/>
                <w:color w:val="auto"/>
              </w:rPr>
            </w:pPr>
          </w:p>
        </w:tc>
      </w:tr>
      <w:tr>
        <w:trPr>
          <w:trHeight w:val="238"/>
        </w:trPr>
        <w:tc>
          <w:tcPr>
            <w:tcW w:w="67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14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676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income/(loss)</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4,296</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3,412</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(966)</w:t>
            </w:r>
          </w:p>
        </w:tc>
      </w:tr>
      <w:tr>
        <w:trPr>
          <w:trHeight w:val="22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1,209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4,621</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from continuing operations</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(192,390)</w:t>
            </w:r>
          </w:p>
        </w:tc>
        <w:tc>
          <w:tcPr>
            <w:tcW w:w="1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(229,860)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1,209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w:t>
            </w:r>
          </w:p>
        </w:tc>
      </w:tr>
      <w:tr>
        <w:trPr>
          <w:trHeight w:val="23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long-term investments</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195,414</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232,534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income from continuing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3,883</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903</w:t>
            </w:r>
          </w:p>
        </w:tc>
        <w:tc>
          <w:tcPr>
            <w:tcW w:w="100" w:type="dxa"/>
            <w:vAlign w:val="bottom"/>
            <w:tcBorders>
              <w:bottom w:val="single" w:sz="8" w:color="CCEEFF"/>
            </w:tcBorders>
          </w:tcPr>
          <w:p>
            <w:pPr>
              <w:spacing w:after="0"/>
              <w:rPr>
                <w:sz w:val="18"/>
                <w:szCs w:val="18"/>
                <w:color w:val="auto"/>
              </w:rPr>
            </w:pPr>
          </w:p>
        </w:tc>
      </w:tr>
      <w:tr>
        <w:trPr>
          <w:trHeight w:val="210"/>
        </w:trPr>
        <w:tc>
          <w:tcPr>
            <w:tcW w:w="6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GAAP (loss)/earnings per share for common shares attributable to continuing</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(0.6110)</w:t>
            </w:r>
          </w:p>
        </w:tc>
        <w:tc>
          <w:tcPr>
            <w:tcW w:w="1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(0.7313)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(0.6110)</w:t>
            </w:r>
          </w:p>
        </w:tc>
        <w:tc>
          <w:tcPr>
            <w:tcW w:w="1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(0.7313)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6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(loss)/earnings per ADS attributable to continuing operations: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(3.0550)</w:t>
            </w:r>
          </w:p>
        </w:tc>
        <w:tc>
          <w:tcPr>
            <w:tcW w:w="1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(3.6563)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(3.0550)</w:t>
            </w:r>
          </w:p>
        </w:tc>
        <w:tc>
          <w:tcPr>
            <w:tcW w:w="1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(3.6563)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Non-GAAP earnings per share for common shares attributable to continuing</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0.0133</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0.0127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0.0034</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0.0133</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0.0127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0.0034</w:t>
            </w:r>
          </w:p>
        </w:tc>
      </w:tr>
      <w:tr>
        <w:trPr>
          <w:trHeight w:val="216"/>
        </w:trPr>
        <w:tc>
          <w:tcPr>
            <w:tcW w:w="6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67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Non-GAAP earnings per ADS for common shares attributable to continuing</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0.0665</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0.0635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0.0170</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0.0665</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0.0635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0.0170</w:t>
            </w:r>
          </w:p>
        </w:tc>
      </w:tr>
      <w:tr>
        <w:trPr>
          <w:trHeight w:val="216"/>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used in calculating:</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314,813,023</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314,173,741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306,082,940</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314,813,023</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314,173,741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306,082,940</w:t>
            </w:r>
          </w:p>
        </w:tc>
      </w:tr>
      <w:tr>
        <w:trPr>
          <w:trHeight w:val="216"/>
        </w:trPr>
        <w:tc>
          <w:tcPr>
            <w:tcW w:w="6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ADSs used in calculating:</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62,962,605</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62,834,748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61,216,588</w:t>
            </w: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62,962,605</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62,834,748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61,216,588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5" w:lineRule="exact"/>
        <w:rPr>
          <w:sz w:val="20"/>
          <w:szCs w:val="20"/>
          <w:color w:val="auto"/>
        </w:rPr>
      </w:pPr>
    </w:p>
    <w:p>
      <w:pPr>
        <w:ind w:right="480" w:firstLine="8"/>
        <w:spacing w:after="0" w:line="195" w:lineRule="auto"/>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reconciliation excludes the operations classified as discontinued operations. The comparative figures have been recalculated to exclude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Xunlei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ir@xunlei.com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+86 755 6111 1571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Website: http://ir.xunlei.com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2026-05-28T06:03:05Z</dcterms:created>
  <dcterms:modified xsi:type="dcterms:W3CDTF">2026-05-28T06:03:05Z</dcterms:modified>
</cp:coreProperties>
</file>