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122d1_6k.htm"/>
      <w:bookmarkStart w:id="1" w:name="kstm262312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Xunlei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3709 Baishi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Nanshan District, Shenzhen, 518000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3122d1_ex99-1.htm">
        <w:r>
          <w:rPr>
            <w:rStyle w:val="InternetLink"/>
            <w:rFonts w:ascii="Times New Roman;Times;Serif" w:hAnsi="Times New Roman;Times;Serif"/>
            <w:b w:val="false"/>
            <w:i w:val="false"/>
            <w:caps w:val="false"/>
            <w:smallCaps w:val="false"/>
            <w:sz w:val="20"/>
          </w:rPr>
          <w:t>Exhibit 99.1—Press Release—Xunlei Announces Unaudited Financial Results for the Second Quarter Ended June 30,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545"/>
        <w:gridCol w:w="2285"/>
      </w:tblGrid>
      <w:tr>
        <w:trPr/>
        <w:tc>
          <w:tcPr>
            <w:tcW w:w="7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283"/>
              <w:jc w:val="left"/>
              <w:rPr>
                <w:b/>
                <w:sz w:val="20"/>
              </w:rPr>
            </w:pPr>
            <w:r>
              <w:rPr>
                <w:b/>
                <w:sz w:val="20"/>
              </w:rPr>
              <w:t>Xunlei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285" w:type="dxa"/>
            <w:tcBorders>
              <w:bottom w:val="single" w:sz="8" w:space="0" w:color="000000"/>
            </w:tcBorders>
            <w:tcMar>
              <w:bottom w:w="28" w:type="dxa"/>
            </w:tcMar>
            <w:vAlign w:val="center"/>
          </w:tcPr>
          <w:p>
            <w:pPr>
              <w:pStyle w:val="TableContents"/>
              <w:bidi w:val="0"/>
              <w:spacing w:before="0" w:after="283"/>
              <w:jc w:val="left"/>
              <w:rPr/>
            </w:pPr>
            <w:r>
              <w:rPr/>
              <w:t>/s/ Naijiang (Eric) Zhou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Naijiang (Eric) Zhou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122d1_ex99-1.htm"/>
      <w:bookmarkStart w:id="3" w:name="kstm262312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4192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6858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ANNOUNCES UNAUDITED FINANCIAL RESULTS FOR THE SECOND QUARTER ENDED JUNE 30, 2026</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 August 13, 2026 (GLOBE NEWSWIRE) - Xunlei Limited (“Xunlei” or the “Company”) (Nasdaq: XNET), a leading technology company providing distributed cloud services in China, today announced its unaudited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2026 Financial Highlights (results presented herein exclude Shenzhen Onething, discontinued operations, unless specified otherwise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2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25" w:type="dxa"/>
            <w:tcBorders/>
            <w:vAlign w:val="center"/>
          </w:tcPr>
          <w:p>
            <w:pPr>
              <w:pStyle w:val="TableContents"/>
              <w:bidi w:val="0"/>
              <w:spacing w:before="0" w:after="283"/>
              <w:jc w:val="both"/>
              <w:rPr/>
            </w:pPr>
            <w:r>
              <w:rPr/>
              <w:t>Total revenues were US$102.7 million, representing an increase of 38.9% year-over-year.</w:t>
            </w:r>
          </w:p>
        </w:tc>
      </w:tr>
    </w:tbl>
    <w:p>
      <w:pPr>
        <w:pStyle w:val="TextBody"/>
        <w:bidi w:val="0"/>
        <w:spacing w:before="0" w:after="0"/>
        <w:ind w:left="720" w:right="0" w:hanging="0"/>
        <w:jc w:val="both"/>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25"/>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95" w:type="dxa"/>
            <w:tcBorders/>
            <w:vAlign w:val="center"/>
          </w:tcPr>
          <w:p>
            <w:pPr>
              <w:pStyle w:val="TableContents"/>
              <w:bidi w:val="0"/>
              <w:spacing w:before="0" w:after="283"/>
              <w:jc w:val="both"/>
              <w:rPr/>
            </w:pPr>
            <w:r>
              <w:rPr/>
              <w:t>Subscription revenues were US$44.5 million, representing an increase of 22.6% year-over-year.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Live-streaming and other services revenues were US$58.2 million, representing an increase of 54.8% year-over-year.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Gross profit was US$57.3 million, representing an increase of 23.1% year-over-year, and gross profit margin was 55.8% in the second quarter, compared with 63.0%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Net loss from continuing operations was US$218.5 million in the second quarter, compared with net income of US$726.4 million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Non-GAAP net loss</w:t>
            </w:r>
            <w:r>
              <w:rPr>
                <w:position w:val="8"/>
                <w:sz w:val="19"/>
              </w:rPr>
              <w:t>2</w:t>
            </w:r>
            <w:r>
              <w:rPr/>
              <w:t xml:space="preserve"> from continuing operations was US$2.1 million in the second quarter, compared with non-GAAP net income of US$7.2 million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Diluted loss per ADS from continuing operations was US$3.43 in the second quarter, compared with diluted earnings per ADS of US$11.47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Non-GAAP diluted loss per ADS</w:t>
            </w:r>
            <w:r>
              <w:rPr>
                <w:position w:val="8"/>
                <w:sz w:val="19"/>
              </w:rPr>
              <w:t>3</w:t>
            </w:r>
            <w:r>
              <w:rPr/>
              <w:t xml:space="preserve"> from continuing operations was US$0.03 in the second quarter, compared with non-GAAP diluted earnings per ADS of US$0.12 in the same period of 2025.</w:t>
            </w:r>
          </w:p>
        </w:tc>
      </w:tr>
    </w:tbl>
    <w:p>
      <w:pPr>
        <w:pStyle w:val="TextBody"/>
        <w:bidi w:val="0"/>
        <w:spacing w:before="0" w:after="0"/>
        <w:ind w:left="0" w:right="0" w:firstLine="27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report continued top-line growth in the second quarter of 2026, building on the robust momentum established in Q1. This performance fully validates our strategic pivot to be more focused on a consumer-only (To-C) business model. In Q2, we recorded total revenue of US$102.7 million, reflecting a substantial year-over-year increase of 38.9%, while gross profit rose 23.1% compared with the prior-year period. This notable growth underscores our effective business structure optimization and the continuous enhancement of operational efficiency,” said Mr. Jinbo Li, Chairman and CEO of Xunlei Limited.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 further reinforce market confidence and deliver sustainable long-term value for our shareholders, we recently announced a new share repurchase program. We believe that this initiative demonstrates our unwavering confidence in the company’s strong fundamentals and potential for long-term growth, positioning us well for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committed to our user-centric development strategy. We will continue to innovate and enhance our product and service offerings, deepen our penetration into international markets, and drive sustainable growth in our core businesses. Through disciplined capital management, we are well-positioned to pursue balanced and sustainable corporate growth. We believe these strategic initiatives will help us deliver lasting value to our users and shareholders amid evolving market dynamics,” Mr. Li concluded.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March 2026, the Company completed the disposal of its 50% stake in Shenzhen Onething Technologies Co., Ltd., or Shenzhen Onething, the operating entity of cloud computing business. The disposal qualified as discontinued operations. According to applicable accounting standards, assets and liabilities related to Shenzhen Onething were reclassified as current assets/liabilities of discontinued operations as of December 31, 2025, while results of operations related to Shenzhen Onething, including comparatives, are reported as income/(loss) from discontinued operations. Figures presented in this release are related to continuing operations only, excluding results from Shenzhen Onething as discontinued operations, unless indicated otherwise.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Non-GAAP net (loss)/income is a non-GAAP financial measure. For more information, please see the section of “About Non-GAAP Financial Measures” and the table captioned “Reconciliation of GAAP and Non-GAAP Results” contained in this press release.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Non-GAAP (loss)/earnings per ADS is a non-GAAP financial measure. For more information, please see the section of “About Non-GAAP Financial Measures” and the table captioned “Reconciliation of GAAP and Non-GAAP Results” contained in this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 (results presented herein exclude Shenzhen Onething, discontinued operations, unless specified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were US$102.7 million, representing an increase of 38.9% year-over-year. The increase in total revenues was mainly attributable to the increased revenues generated from our subscription business and overseas audio live-streaming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subscription were US$44.5 million, representing an increase of 22.6% year-over-year. The increase in subscription revenues was mainly driven by the increase in demand for our subscription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live-streaming and other services were US$58.2 million, representing an increase of 54.8% year-over-year. The increase in live-streaming and other services revenues was mainly due to the increase in revenues from our overseas audio live-streaming business and advertising business of Hupu.</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US$44.8 million, representing 43.6% of our total revenues, compared with US$27.0 million, or 36.6% of the total revenues, in the same period of 2025. The increase in cost of revenues was mainly attributable to the increase in revenue-sharing expenses in our overseas audio live-streaming operations, generally in line with the growth in live-streaming and other service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second quarter of 2026 was US$57.3 million, representing an increase of 23.1% year-over-year. Gross profit margin was 55.8% in the second quarter of 2026, compared with 63.0% in the same period of 2025. The increase in gross profit was mainly driven by the increase in gross profit generated from our advertising business of Hupu and subscription business. The decrease in gross profit margin was mainly attributable to the increased proportion of live-streaming revenues to total revenues, which has a lower gross profit margin.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second quarter of 2026 were US$21.4 million, representing 20.8% of our total revenues, compared with US$16.6 million, or 22.4% of our total revenues, in the same period of 2025. The increase was primarily due to more labor costs incurred during the quarter.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second quarter of 2026 were US$27.9 million, representing 27.2% of our total revenues, compared with US$20.7 million, or 28.0% of our total revenues, in the same period of 2025. The increase was primarily due to more marketing expenses incurred during the quarter for our subscription and overseas audio live-streaming businesses as part of our ongoing efforts to acquire users.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second quarter of 2026 were US$12.7 million, representing 12.4% of our total revenues, compared with US$8.5 million, or 11.6% of our total revenues, in the same period of 2025. The increase in general and administrative expenses was primarily due to the provision for ongoing litigations and increased employee-related cost as compared with the same period of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(Loss)/Income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was US$4.8 million, compared with an operating income of US$0.3 million in the same period of 2025. The shift from operating income to operating loss was primarily attributable to the increase in operating expenses discussed above.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(Losses)/Income, Net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losses, net was US$213.8 million, compared with other income, net of US$721.5 million in the same period of 2025. The change from other income, net to other losses, net was primarily attributable to the fair value changes of our long-term investment in Arashi Vision Inc., which has been measured at fair value based on the quoted market price since its initial public offering in June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and (Loss)/Earnings Per ADS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was US$218.5 million compared with net income of US$726.4 million in the same period of 2025. The net loss was primarily due to the swing from other income, net to other losses, net and the shift from operating income to an operating loss, as discussed above. Non-GAAP net loss from continuing operations was US$2.1 million in the second quarter of 2026, compared with non-GAAP net income of US$7.2 million in the same period of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ADS from continuing operations in the second quarter of 2026 was US$3.43, compared with diluted earnings per ADS from continuing operations of US$11.47 in the second quarter of 2025. Non-GAAP diluted loss per ADS from continuing operations was US$0.03 in the second quarter, compared with non-GAAP diluted earnings per ADS from continuing operations of US$0.12 in the same period of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Balance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cash equivalents and short-term investments of US$276.9 million, compared with US$303.6 million as of March 31, 2026. The decrease in cash, cash equivalents and short-term investments was mainly due to the net cash outflows from operating activities, repayment of bank loans, payments for share repurchase and deferred consideration for the acquisition of Hupu.</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Xunlei’s management will host a conference call at 8:00 a.m. U.S. Eastern Time on August 13, 2026 (8:00 p.m. Beijing/Hong Kong Time), to discuss the Company’s quarterly results and recent business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https://register-conf.media-server.com/register/BIa77b2d16be874a6eb0b92ce720fd7da8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to join the conference using the link provided above and dial in 10 minutes before the call is scheduled to begin. Once registered, the participants will receive an email with personal PIN and dial-in information, and participants can choose to access either via Dial-In or Call Me. A kindly reminder that “Call Me” does not work for China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broadcast a live audio webcast of the conference call. The webcast will be available at http://ir.xunlei.com. Following the earnings conference call, an archive of the call will be available at https://edge.media-server.com/mmc/p/qm7pbos8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Xunlei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2003, Xunlei Limited (Nasdaq: XNET) is a leading technology company providing distributed cloud services in China. Xunlei provides a wide range of products and services across cloud acceleration and digital entertainment to deliver an efficient, smart and safe internet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of a forward-looking nature. These statements are made under the “safe harbor” provisions of the U.S. Private Securities Litigation Reform Act of 1995. You can identify these forward-looking statements by terminology such as “will,” “expects,” “believes,” “anticipates,” “future,” “intends,” “plans,” “estimates” and similar statements. Among other things, the management’s quotations in this press release, as well as the Company’s strategic, operational and acquisition plans, contain forward-looking statements. These forward-looking statements involve known and unknown risks and uncertainties and are based on current expectations, assumptions, estimates and projections about the Company and the industry. Forward-looking statements involve inherent risks and uncertainties, including but not limited to: the Company’s ability to continue to innovate and provide attractive products and services to retain and grow its user base and advertisers; the Company’s ability to keep up with technological developments and users’ changing demands in the internet industry; the Company’s ability to convert its users into subscribers of its premium services; the Company’s ability to integrate and grow its acquired business; the Company’s ability to deal with existing and potential copyright infringement claims and other related claims; the Company’s ability to react to the governmental actions for its scrutiny of internet content in China and the Company’s ability to compete effectively.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All information provided in this press release is as of the date of the press release, and the Company undertakes no obligation to update any forward-looking statements to reflect subsequent occurring events or circumstances, or changes in its expectations,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Xunlei’s consolidated financial results presented in accordance with United States Generally Accepted Accounting Principles (“GAAP”), Xunlei uses the following measures defined as non-GAAP financial measures by the United States Securities and Exchange Commission: (1) non-GAAP operating (loss)/income, (2) non-GAAP net (loss)/income from continuing operations, (3) non-GAAP basic and diluted (loss)/earnings per share for common shares from continuing operations, and (4) non-GAAP basic and diluted (loss)/earnings per ADS attributable to continuing operations. The presentation of the non-GAAP financial information is not intended to be considered in isolation or as a substitute for the financial information prepared and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Xunlei believes that these non-GAAP financial measures provide meaningful supplemental information to investors regarding the Company’s operating performance by excluding share-based compensation expenses, and fair value changes of long-term investments, which are not expected to result in future cash payments, may recur from period to period but are subject to significant market volatility, and which are not indicative of our core operating results and business outlook. These non-GAAP financial measures also facilitate management’s internal comparisons to Xunlei’s historical performance and assist the Company’s financial and operational decision making. A limitation of using these non-GAAP financial measures is that these non-GAAP measures exclude certain items that have been and will continue to be for the foreseeable future a recurring expense in Xunlei’s results of operations. Management compensates for these limitations by providing specific information regarding the GAAP amounts excluded from each non-GAAP measure. The accompanying reconciliation tables at the end of this release include details on the reconciliations between GAAP financial measures that are most directly comparable to the non-GAAP financial measures the Company has presented, excluding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7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LIMITED</w:t>
      </w:r>
    </w:p>
    <w:p>
      <w:pPr>
        <w:pStyle w:val="TextBody"/>
        <w:bidi w:val="0"/>
        <w:spacing w:before="0" w:after="0"/>
        <w:ind w:left="0" w:right="0" w:firstLine="27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BALANCE SHEETS</w:t>
      </w:r>
    </w:p>
    <w:p>
      <w:pPr>
        <w:pStyle w:val="TextBody"/>
        <w:bidi w:val="0"/>
        <w:spacing w:before="0" w:after="0"/>
        <w:ind w:left="0" w:right="0" w:firstLine="27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thousands of USD, except for share, per share (or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0"/>
        <w:gridCol w:w="60"/>
        <w:gridCol w:w="60"/>
        <w:gridCol w:w="845"/>
        <w:gridCol w:w="80"/>
        <w:gridCol w:w="60"/>
        <w:gridCol w:w="60"/>
        <w:gridCol w:w="845"/>
        <w:gridCol w:w="95"/>
      </w:tblGrid>
      <w:tr>
        <w:trPr/>
        <w:tc>
          <w:tcPr>
            <w:tcW w:w="8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of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403,877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1,070,596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a related party, non-current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prepayments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1,181,436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1,631,923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borrowings and current portion of long-term bank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of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164,505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208,458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non-current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 non-current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259,406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(US$0.00025 par value, 1,000,000,000 shares authorized, 375,001,940 shares issued and 314,277,001 shares outstanding as at December 31, 2025; 375,001,940 issued and 318,702,251 shares outstanding as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475,918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480,133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(60,724,939 shares and 56,299,689 shares as at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507,929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900,991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Xunlei Limited's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983,788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1,373,491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1,181,436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1,631,923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XUNLEI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(Loss)/Income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thousands of USD, except for share, per share (or ADS) data)</w:t>
      </w:r>
    </w:p>
    <w:p>
      <w:pPr>
        <w:pStyle w:val="TextBody"/>
        <w:bidi w:val="0"/>
        <w:spacing w:before="0" w:after="0"/>
        <w:ind w:left="0" w:right="0" w:hanging="0"/>
        <w:jc w:val="left"/>
        <w:rPr>
          <w:caps w:val="false"/>
          <w:smallCaps w:val="false"/>
        </w:rPr>
      </w:pPr>
      <w:r>
        <w:rPr>
          <w:caps w:val="false"/>
          <w:smallCaps w:val="false"/>
        </w:rPr>
        <w:t> </w:t>
      </w:r>
    </w:p>
    <w:tbl>
      <w:tblPr>
        <w:tblW w:w="9320" w:type="dxa"/>
        <w:jc w:val="left"/>
        <w:tblInd w:w="0" w:type="dxa"/>
        <w:tblLayout w:type="fixed"/>
        <w:tblCellMar>
          <w:top w:w="0" w:type="dxa"/>
          <w:left w:w="0" w:type="dxa"/>
          <w:bottom w:w="0" w:type="dxa"/>
          <w:right w:w="0" w:type="dxa"/>
        </w:tblCellMar>
      </w:tblPr>
      <w:tblGrid>
        <w:gridCol w:w="5540"/>
        <w:gridCol w:w="60"/>
        <w:gridCol w:w="60"/>
        <w:gridCol w:w="1055"/>
        <w:gridCol w:w="80"/>
        <w:gridCol w:w="60"/>
        <w:gridCol w:w="60"/>
        <w:gridCol w:w="1055"/>
        <w:gridCol w:w="80"/>
        <w:gridCol w:w="60"/>
        <w:gridCol w:w="60"/>
        <w:gridCol w:w="1055"/>
        <w:gridCol w:w="9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net of rebates and discounts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taxes and surcharges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(expenses)/write-back,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(62,084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(53,401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(46,266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(losses)/income,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721,538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(Loss)/income before income taxes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(218,036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(190,540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722,536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(218,513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(192,390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726,353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discontinued operations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benefits/(expenses)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(218,513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(174,667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727,404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(218,424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(174,638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727,590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(Loss)/earnings per share for common shares,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(loss) /earnings per share for common shares,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(Loss)/earnings per share for common shares,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(loss)/earnings per share for common shares,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(Loss)/earnings per ADS,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(loss)/earnings per ADS,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(Loss)/earnings per ADS,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(loss)/earnings per ADS,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used in calculating: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318,378,628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314,813,023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312,196,048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318,378,628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314,813,023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316,830,316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ADSs used in calculating: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63,675,726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62,962,605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62,439,210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63,675,726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62,962,605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63,366,063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8" w:right="0" w:firstLine="27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 w:right="0" w:firstLine="27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LIMITED</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Reconciliation of GAAP and Non-GAAP Results (Excluding discontinued operations) </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thousands of USD, except for share, per share (or ADS) data)</w:t>
      </w:r>
    </w:p>
    <w:p>
      <w:pPr>
        <w:pStyle w:val="TextBody"/>
        <w:bidi w:val="0"/>
        <w:spacing w:before="0" w:after="0"/>
        <w:ind w:left="108"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5"/>
        <w:gridCol w:w="60"/>
        <w:gridCol w:w="60"/>
        <w:gridCol w:w="1055"/>
        <w:gridCol w:w="80"/>
        <w:gridCol w:w="60"/>
        <w:gridCol w:w="60"/>
        <w:gridCol w:w="1055"/>
        <w:gridCol w:w="80"/>
        <w:gridCol w:w="60"/>
        <w:gridCol w:w="60"/>
        <w:gridCol w:w="1055"/>
        <w:gridCol w:w="95"/>
      </w:tblGrid>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(loss)/income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726,353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changes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(719,688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(loss)/income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(loss)/earnings per share for common shares attributable to continuing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(loss)/earnings per ADS attributable to continuing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(loss)/earnings per share for common shares attributable to continuing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(loss)/earnings per ADS for common shares attributable to continuing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used in calculating: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318,378,628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314,813,023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312,196,048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318,378,628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314,813,023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316,830,316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ADSs used in calculating: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63,675,726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62,962,605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62,439,210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63,675,726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62,962,605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63,366,063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Non-GAAP reconciliation excludes the operations classified as discontinued operations. The comparative figures have been recalculated to exclude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Xunlei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ir@xunlei.com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+86 755 6111 1571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http://ir.xunlei.com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3331</Words>
  <Characters>19889</Characters>
  <CharactersWithSpaces>24010</CharactersWithSpaces>
  <Paragraphs>1962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