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75565</wp:posOffset>
            </wp:positionV>
            <wp:extent cx="942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81915</wp:posOffset>
            </wp:positionV>
            <wp:extent cx="942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2" w:lineRule="exact"/>
        <w:rPr>
          <w:sz w:val="24"/>
          <w:szCs w:val="24"/>
          <w:color w:val="auto"/>
        </w:rPr>
      </w:pPr>
    </w:p>
    <w:p>
      <w:pPr>
        <w:ind w:left="4860" w:right="1160" w:hanging="4852"/>
        <w:spacing w:after="0" w:line="407" w:lineRule="auto"/>
        <w:tabs>
          <w:tab w:leader="none" w:pos="40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REGISTRATION STATEMENT PURSUANT TO SECTION 12(b) OR (g) OF THE SECURITIES EXCHANGE ACT OF 1934 OR</w:t>
      </w:r>
    </w:p>
    <w:p>
      <w:pPr>
        <w:spacing w:after="0" w:line="37" w:lineRule="exact"/>
        <w:rPr>
          <w:sz w:val="24"/>
          <w:szCs w:val="24"/>
          <w:color w:val="auto"/>
        </w:rPr>
      </w:pPr>
    </w:p>
    <w:p>
      <w:pPr>
        <w:ind w:left="400" w:right="2000" w:hanging="392"/>
        <w:spacing w:after="0" w:line="298" w:lineRule="auto"/>
        <w:tabs>
          <w:tab w:leader="none" w:pos="39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 For the fiscal year ended December 31, 2025.</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40" w:lineRule="exact"/>
        <w:rPr>
          <w:sz w:val="24"/>
          <w:szCs w:val="24"/>
          <w:color w:val="auto"/>
        </w:rPr>
      </w:pPr>
    </w:p>
    <w:p>
      <w:pPr>
        <w:ind w:left="400" w:right="1700" w:hanging="392"/>
        <w:spacing w:after="0" w:line="298" w:lineRule="auto"/>
        <w:tabs>
          <w:tab w:leader="none" w:pos="4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__________ to 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54" w:lineRule="exact"/>
        <w:rPr>
          <w:sz w:val="24"/>
          <w:szCs w:val="24"/>
          <w:color w:val="auto"/>
        </w:rPr>
      </w:pPr>
    </w:p>
    <w:p>
      <w:pPr>
        <w:ind w:left="400" w:right="1320" w:hanging="392"/>
        <w:spacing w:after="0" w:line="298" w:lineRule="auto"/>
        <w:tabs>
          <w:tab w:leader="none" w:pos="403"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SHELL COMPANY REPORT PURSUANT TO SECTION 13 OR 15(d) OF THE SECURITIES EXCHANGE ACT OF 1934 Date of event requiring this shell company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140335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Xunlei Limited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164465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3709 Baishi Road, Nanshan District, Shenzhen, 518000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Naijiang (Eric) Zhou, Chief Financial Officer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+86-0755 61111571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zhounaijiang@xunlei.com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3709 Baishi Road, Nanshan District, Shenzhen, 518000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75565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Ticker symbol</w:t>
            </w:r>
          </w:p>
        </w:tc>
      </w:tr>
      <w:tr>
        <w:trPr>
          <w:trHeight w:val="182"/>
        </w:trPr>
        <w:tc>
          <w:tcPr>
            <w:tcW w:w="34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American depositary shares,</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jc w:val="center"/>
              <w:ind w:right="121"/>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c>
          <w:tcPr>
            <w:tcW w:w="1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r>
      <w:tr>
        <w:trPr>
          <w:trHeight w:val="203"/>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each representing five common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jc w:val="center"/>
              <w:ind w:right="404"/>
              <w:spacing w:after="0"/>
              <w:rPr>
                <w:sz w:val="20"/>
                <w:szCs w:val="20"/>
                <w:color w:val="auto"/>
              </w:rPr>
            </w:pPr>
            <w:r>
              <w:rPr>
                <w:rFonts w:ascii="Times New Roman" w:cs="Times New Roman" w:eastAsia="Times New Roman" w:hAnsi="Times New Roman"/>
                <w:sz w:val="16"/>
                <w:szCs w:val="16"/>
                <w:color w:val="auto"/>
              </w:rPr>
              <w:t>XNET</w:t>
            </w:r>
          </w:p>
        </w:tc>
      </w:tr>
      <w:tr>
        <w:trPr>
          <w:trHeight w:val="203"/>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par value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US$0.00025 per share*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15684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1" w:lineRule="exact"/>
        <w:rPr>
          <w:sz w:val="24"/>
          <w:szCs w:val="24"/>
          <w:color w:val="auto"/>
        </w:rPr>
      </w:pPr>
    </w:p>
    <w:p>
      <w:pPr>
        <w:ind w:left="2500" w:right="1560" w:hanging="2492"/>
        <w:spacing w:after="0" w:line="373"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listing on The Nasdaq Global Select Market of American depositary shares. Securities registered or to be registered pursuant to Section 12(g) of the Act.</w:t>
      </w: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314,277,001 common shares (excluding (i) 49,835,510 common shares that are (a) reserved for bulk issuance upon the exercise or vesting of awards granted under our share incentive plan, or (b) repurchased by our company but not yet canceled, and (ii) 10,889,429 common shares, consisting of 274,057 ADSs (representing 1,370,285 common shares) and 9,519,144 common shares held by Leading Advice Holdings Limited, a share incentive awards holding platform) as of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9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20"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 (d) of the Securities Exchange Act of 1934 from their obligations under those Sections.</w:t>
      </w:r>
    </w:p>
    <w:p>
      <w:pPr>
        <w:spacing w:after="0" w:line="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3"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33"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definition of “accelerated filer,” “large accelerated filer,” and “emerging growth company” in Rule 12b-2 of the Exchange Act.</w:t>
      </w:r>
    </w:p>
    <w:p>
      <w:pPr>
        <w:spacing w:after="0" w:line="83" w:lineRule="exact"/>
        <w:rPr>
          <w:sz w:val="20"/>
          <w:szCs w:val="20"/>
          <w:color w:val="auto"/>
        </w:rPr>
      </w:pPr>
    </w:p>
    <w:p>
      <w:pPr>
        <w:ind w:left="340"/>
        <w:spacing w:after="0" w:line="184" w:lineRule="exact"/>
        <w:tabs>
          <w:tab w:leader="none" w:pos="2640" w:val="left"/>
          <w:tab w:leader="none" w:pos="4880" w:val="left"/>
          <w:tab w:leader="none" w:pos="73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Securities Act.</w:t>
      </w:r>
    </w:p>
    <w:p>
      <w:pPr>
        <w:spacing w:after="0" w:line="33"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4" w:lineRule="exact"/>
        <w:rPr>
          <w:sz w:val="20"/>
          <w:szCs w:val="20"/>
          <w:color w:val="auto"/>
        </w:rPr>
      </w:pPr>
    </w:p>
    <w:p>
      <w:pPr>
        <w:ind w:left="180" w:hanging="172"/>
        <w:spacing w:after="0" w:line="298" w:lineRule="auto"/>
        <w:tabs>
          <w:tab w:leader="none" w:pos="18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sectPr>
      </w:pPr>
    </w:p>
    <w:p>
      <w:pPr>
        <w:spacing w:after="0" w:line="91" w:lineRule="exact"/>
        <w:rPr>
          <w:sz w:val="20"/>
          <w:szCs w:val="20"/>
          <w:color w:val="auto"/>
        </w:rPr>
      </w:pPr>
    </w:p>
    <w:p>
      <w:pPr>
        <w:ind w:left="82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International Financial Reporting Standards as issued by the International</w:t>
      </w:r>
    </w:p>
    <w:p>
      <w:pPr>
        <w:spacing w:after="0" w:line="26" w:lineRule="exact"/>
        <w:rPr>
          <w:sz w:val="20"/>
          <w:szCs w:val="20"/>
          <w:color w:val="auto"/>
        </w:rPr>
      </w:pPr>
    </w:p>
    <w:p>
      <w:pPr>
        <w:jc w:val="center"/>
        <w:ind w:right="460"/>
        <w:spacing w:after="0" w:line="184" w:lineRule="exact"/>
        <w:rPr>
          <w:sz w:val="20"/>
          <w:szCs w:val="20"/>
          <w:color w:val="auto"/>
        </w:rPr>
      </w:pPr>
      <w:r>
        <w:rPr>
          <w:rFonts w:ascii="Times New Roman" w:cs="Times New Roman" w:eastAsia="Times New Roman" w:hAnsi="Times New Roman"/>
          <w:sz w:val="16"/>
          <w:szCs w:val="16"/>
          <w:color w:val="auto"/>
        </w:rPr>
        <w:t xml:space="preserve">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62" w:lineRule="exact"/>
        <w:rPr>
          <w:sz w:val="20"/>
          <w:szCs w:val="20"/>
          <w:color w:val="auto"/>
        </w:rPr>
      </w:pPr>
    </w:p>
    <w:p>
      <w:pPr>
        <w:sectPr>
          <w:pgSz w:w="11900" w:h="16838" w:orient="portrait"/>
          <w:cols w:equalWidth="0" w:num="3">
            <w:col w:w="2000" w:space="720"/>
            <w:col w:w="5220" w:space="720"/>
            <w:col w:w="1260"/>
          </w:cols>
          <w:pgMar w:left="980" w:top="513" w:right="99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ind w:left="8500"/>
        <w:spacing w:after="0" w:line="173" w:lineRule="exact"/>
        <w:rPr>
          <w:sz w:val="20"/>
          <w:szCs w:val="20"/>
          <w:color w:val="auto"/>
        </w:rPr>
      </w:pPr>
      <w:r>
        <w:rPr>
          <w:rFonts w:ascii="Times New Roman" w:cs="Times New Roman" w:eastAsia="Times New Roman" w:hAnsi="Times New Roman"/>
          <w:sz w:val="15"/>
          <w:szCs w:val="15"/>
          <w:color w:val="auto"/>
        </w:rPr>
        <w:t xml:space="preserve">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 </w:t>
      </w:r>
      <w:r>
        <w:rPr>
          <w:rFonts w:ascii="MS PGothic" w:cs="MS PGothic" w:eastAsia="MS PGothic" w:hAnsi="MS PGothic"/>
          <w:sz w:val="15"/>
          <w:szCs w:val="15"/>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100330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4"/>
        </w:trPr>
        <w:tc>
          <w:tcPr>
            <w:tcW w:w="1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4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3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1120" w:type="dxa"/>
            <w:vAlign w:val="bottom"/>
            <w:tcBorders>
              <w:top w:val="single" w:sz="8" w:color="0000EE"/>
            </w:tcBorders>
            <w:gridSpan w:val="6"/>
          </w:tcPr>
          <w:p>
            <w:pPr>
              <w:spacing w:after="0"/>
              <w:rPr>
                <w:sz w:val="17"/>
                <w:szCs w:val="17"/>
                <w:color w:val="auto"/>
              </w:rPr>
            </w:pPr>
          </w:p>
        </w:tc>
        <w:tc>
          <w:tcPr>
            <w:tcW w:w="284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on the Company</w:t>
            </w:r>
          </w:p>
        </w:tc>
        <w:tc>
          <w:tcPr>
            <w:tcW w:w="474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00" w:type="dxa"/>
            <w:vAlign w:val="bottom"/>
            <w:gridSpan w:val="2"/>
          </w:tcPr>
          <w:p>
            <w:pPr>
              <w:spacing w:after="0"/>
              <w:rPr>
                <w:sz w:val="17"/>
                <w:szCs w:val="17"/>
                <w:color w:val="auto"/>
              </w:rPr>
            </w:pP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46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2100" w:type="dxa"/>
            <w:vAlign w:val="bottom"/>
            <w:tcBorders>
              <w:top w:val="single" w:sz="8" w:color="0000EE"/>
            </w:tcBorders>
            <w:gridSpan w:val="13"/>
          </w:tcPr>
          <w:p>
            <w:pPr>
              <w:spacing w:after="0"/>
              <w:rPr>
                <w:sz w:val="17"/>
                <w:szCs w:val="17"/>
                <w:color w:val="auto"/>
              </w:rPr>
            </w:pPr>
          </w:p>
        </w:tc>
        <w:tc>
          <w:tcPr>
            <w:tcW w:w="3140" w:type="dxa"/>
            <w:vAlign w:val="bottom"/>
            <w:gridSpan w:val="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2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26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11.</w:t>
            </w:r>
          </w:p>
        </w:tc>
        <w:tc>
          <w:tcPr>
            <w:tcW w:w="18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r>
      <w:tr>
        <w:trPr>
          <w:trHeight w:val="196"/>
        </w:trPr>
        <w:tc>
          <w:tcPr>
            <w:tcW w:w="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600" w:type="dxa"/>
            <w:vAlign w:val="bottom"/>
            <w:tcBorders>
              <w:top w:val="single" w:sz="8" w:color="0000EE"/>
            </w:tcBorders>
            <w:gridSpan w:val="2"/>
          </w:tcPr>
          <w:p>
            <w:pPr>
              <w:spacing w:after="0"/>
              <w:rPr>
                <w:sz w:val="17"/>
                <w:szCs w:val="17"/>
                <w:color w:val="auto"/>
              </w:rPr>
            </w:pPr>
          </w:p>
        </w:tc>
        <w:tc>
          <w:tcPr>
            <w:tcW w:w="18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3820" w:type="dxa"/>
            <w:vAlign w:val="bottom"/>
            <w:tcBorders>
              <w:top w:val="single" w:sz="8" w:color="0000EE"/>
            </w:tcBorders>
            <w:gridSpan w:val="16"/>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6160" w:type="dxa"/>
            <w:vAlign w:val="bottom"/>
            <w:gridSpan w:val="2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16A.</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Committee Financial Expert</w:t>
            </w:r>
          </w:p>
        </w:tc>
        <w:tc>
          <w:tcPr>
            <w:tcW w:w="4340" w:type="dxa"/>
            <w:vAlign w:val="bottom"/>
            <w:gridSpan w:val="1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16B.</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Ethics</w:t>
            </w:r>
          </w:p>
        </w:tc>
        <w:tc>
          <w:tcPr>
            <w:tcW w:w="5760" w:type="dxa"/>
            <w:vAlign w:val="bottom"/>
            <w:gridSpan w:val="2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16C.</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3980" w:type="dxa"/>
            <w:vAlign w:val="bottom"/>
            <w:gridSpan w:val="1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16D.</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38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16E.</w:t>
            </w:r>
          </w:p>
        </w:tc>
        <w:tc>
          <w:tcPr>
            <w:tcW w:w="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180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16F.</w:t>
            </w:r>
          </w:p>
        </w:tc>
        <w:tc>
          <w:tcPr>
            <w:tcW w:w="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48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5160" w:type="dxa"/>
            <w:vAlign w:val="bottom"/>
            <w:gridSpan w:val="2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16H.</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16I.</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3180" w:type="dxa"/>
            <w:vAlign w:val="bottom"/>
            <w:gridSpan w:val="15"/>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16J.</w:t>
            </w:r>
          </w:p>
        </w:tc>
        <w:tc>
          <w:tcPr>
            <w:tcW w:w="10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512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16K.</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5820" w:type="dxa"/>
            <w:vAlign w:val="bottom"/>
            <w:gridSpan w:val="2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196"/>
        </w:trPr>
        <w:tc>
          <w:tcPr>
            <w:tcW w:w="1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17.</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5340" w:type="dxa"/>
            <w:vAlign w:val="bottom"/>
            <w:gridSpan w:val="2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18.</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19.</w:t>
            </w:r>
          </w:p>
        </w:tc>
        <w:tc>
          <w:tcPr>
            <w:tcW w:w="1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340" w:type="dxa"/>
            <w:vAlign w:val="bottom"/>
            <w:gridSpan w:val="2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20"/>
        </w:trPr>
        <w:tc>
          <w:tcPr>
            <w:tcW w:w="580" w:type="dxa"/>
            <w:vAlign w:val="bottom"/>
            <w:gridSpan w:val="4"/>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225" w:lineRule="exact"/>
        <w:rPr>
          <w:sz w:val="20"/>
          <w:szCs w:val="20"/>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representing five common shares, and “ADRs” refers to any American depositary receipts that evidence our ADSs;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 of this annual report only, Hong Kong, Macau and Taiwan;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active user” refers to a user who accessed Mobile Xunlei through a mobile device, on a given day;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media content” refers to videos, music, games, software and documents transmitted in digital form;</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visitors” refers to the number of different individual visitors who accessed Xunlei products (including websites and software) on our platform from the same computer at least once within a month; under this method, a user who accessed Xunlei products from two different computers would count as two unique visitors;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“common shares” refers to our common shares, par value US$0.00025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“Shenzhen Suqu” refers to Shenzhen Suqu Network Technology Co., Ltd., a variable interest entity in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“Shenzhen Xunlei” refers to Shenzhen Xunlei Networking Technologies Co., Ltd., a variable interest entity in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refers to users who can access our premium acceleration services, including accounts temporarily suspended, but excluding sub-accounts and accounts on a trial basis;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or the “variable interest entities” refers to Shenzhen Xunlei and Shenzhen Suqu and a variable interest entity means each of them;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“WFOEs” refers to Giganology (Shenzhen) Co., Ltd., or Giganology Shenzhen and Xunlei Computer (Shenzhen) Co., Ltd., our wholly foreign-owned enterprises in China, and a WFOE means each of them.</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U.S. dollar as reporting currency in our financial statements and in this annual report. Transactions in Renminbi are recorded at the rates of exchange prevailing when the transactions occur. Solely for the convenience of the reader, the translations of Renminbi amounts into U.S. dollars contained in this annual report were made at RMB7.0288 to US$1.00, the rate released by the State Administration of Foreign Exchange of the People’s Republic of China on December 31, 2025.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words or phrases such as “may,” “might”, “could,” “should,” “would,” “will,” “expect,” “anticipate,” “aim,” “estimate,” “intend,” “plan,” “believe,” “likely to,” “project,” “continue,”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9"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including the strategies to streamline our business;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strengthen our market position in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subscribers for our premium acceleration and other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attract, maintain and monetize user traffic;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competition in the internet industry in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governing the internet industry in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handle intellectual property rights-related matters;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and you should read these statements in conjunction with other sections of this annual report, in particular the risk factors disclosed in “Item 3. Key Information—D. Risk Factors.” These statements involve known and unknown risks, uncertainties and other factors that may cause our actual results, performance or achievements to be materially different from those expressed or implied by the forward-looking statements. Moreover,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The forward-looking statements made in this annual report relate only to events or information as of the date on which the statements are made in this annual report. We do not undertake any obligation to update or revise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Variable Interest Entities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Xunlei Limited is not a Chinese operating company but a Cayman Islands holding company with no equity ownership in the variable interest entities. We conduct our operations primarily in China through (i) our PRC subsidiaries, and (ii) the variable interest entities, with which we maintain contractual arrangements and their subsidiaries in China. PRC laws and regulations place certain restrictions on foreign ownership of companies that engage in value-added telecommunication service, and prohibit foreign investment in internet cultural operating service and online transmission of audio-visual programs service. Accordingly, we operate these businesses in China through the variable interest entities, and rely on contractual arrangements among our PRC subsidiaries, the variable interest entities and their shareholders to control the business operations of the variable interest entities. Revenues contributed by the variable interest entities accounted for 90.7%, 79.1% and 72.7% of our total revenues in 2023, 2024 and 2025, respectively. As used in this annual report, “we,” “us,” “our company” and “our” refer to Xunlei Limited, its subsidiaries, and, in the context of describing our operations and consolidated financial information, the variable interest entities in China, Shenzhen Xunlei, which was established in January 2003 to operate our Xunlei internet platform together with its various subsidiaries in the PRC, and Shenzhen Suqu, which was established in October 2021 and acquired 100% of equity interest in Shanghai Kuanghui Network Technology Co., Ltd., or Shanghai Kuanghui, which operates Hupu, a leading sports media and data platform in China, in May 2025. Investors in our ADSs are not purchasing equity interest in the variable interest entities in China but instead are purchasing equity interest in a holding company incorporated in the Cayman Islands.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series of contractual agreements, including business operation agreement, equity pledge agreement, powers of attorney, exclusive technology support and services agreement, exclusive technology consulting and training agreement, proprietary technology license contract, intellectual properties purchase option agreement, equity interests disposal agreement and loan agreements, have been entered into by and among our subsidiaries, the variable interest entities and their shareholders. Terms contained in each set of contractual arrangements with the variable interest entities and their shareholders are substantially similar. As a result of the contractual arrangements, we are able to direct the activities that most significantly affect the variable interest entities’ economic performance and are considered the primary beneficiary of the variable interest entities, and we have consolidated the financial results of the variable interest entities and their subsidiaries in our consolidated financial statements in accordance with U.S. GAAP. For more details of these contractual arrangements, see “Item 4. Information on the Company—C. Organizational Structure—Contractual Arrangements with the Variable Interest Entities.”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ownership in providing us with control over the variable interest entities and we may incur substantial costs to enforce the terms of the arrangements. In addition, these agreements have not been tested in PRC courts. See “Item 3. Key Information—D. Risk Factors—Risks Related to Our Corporate Structure—We rely on contractual arrangements with the variable interest entities in China and their shareholders for our operations, which may not be as effective as ownership in providing operational control over the variable interest entities and their subsidiaries” and “—The shareholders of the variable interest entities may have potential conflicts of interest with us, which may materially and adversely affect our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the variable interest entities, principal subsidiaries of our company and principal subsidiaries of the variable interest entities, as of the date of this annual report on Form 20-F. In March 2026, Shenzhen Xunlei entered into definitive agreements to transfer an aggregate 50% equity interest in Shenzhen Onething Technologies Co., Ltd., or Shenzhen Onething, for an aggregate cash consideration of RMB125 million. Upon completion of the transaction in March 2026, Shenzhen Xunlei retained 20% equity interest in Shenzhen Onething, and we no longer consolidate the financial results of Shenzhen Onething.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589270" cy="3575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9270" cy="357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35" w:lineRule="exact"/>
        <w:rPr>
          <w:sz w:val="20"/>
          <w:szCs w:val="20"/>
          <w:color w:val="auto"/>
        </w:rPr>
      </w:pPr>
    </w:p>
    <w:p>
      <w:pPr>
        <w:jc w:val="both"/>
        <w:ind w:left="340" w:hanging="332"/>
        <w:spacing w:after="0" w:line="281"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Shenzhen Xunlei is a variable interest entity. Mr. Sean Shenglong Zou, our co-founder, Mr. Hao Cheng, our co-founder, Mr. Jianming Shi, Guangzhou Shulian Information Investment Co., Ltd. and Ms. Fang Wang own 76.0%, 8.3%, 8.3%, 6.7% and 0.7% of Shenzhen Xunlei’s equity interests, respectively.</w:t>
      </w:r>
    </w:p>
    <w:p>
      <w:pPr>
        <w:spacing w:after="0" w:line="17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30% of the equity interest is owned by Mr. Hao Cheng.</w:t>
      </w:r>
    </w:p>
    <w:p>
      <w:pPr>
        <w:spacing w:after="0" w:line="23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20% of the equity interest is owned by Henan Cultural Tourism Investment Group Co., Ltd.</w:t>
      </w:r>
    </w:p>
    <w:p>
      <w:pPr>
        <w:spacing w:after="0" w:line="234"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Shenzhen Suqu is a variable interest entity. Shenzhen Zhiyi Wensi Consulting LLP (“Zhiyi Wensi”) and Shenzhen Zhilue Xinsi Consulting Co., Ltd. (“Zhilue Xinsi”) own 99% and 1% of Shenzhen Suqu’s equity interests, respectively. Zhiyi Wensi is a PRC limited liability partnership with (i) Zhilue Xinsi, as its general partner, holding a 5% partnership interest, and (ii) Mr. Kening Wu, as its limited partner, holding the remaining 95% partnership interest. Zhilue Xinsi is a PRC limited liability company whose registered shareholders are Mr. Kening Wu, our vice president, and Mr. Xiaosong Li, our director and vice president, holding 60% and 40% of the equity interests, respectively.</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PRC subsidiary with respect to its contractual arrangements with the variable interest entities and their shareholders. It is uncertain whether any new PRC laws or regulations relating to variable interest entity structures will be adopted or if adopted, what they would provide. If our PRC subsidiary or any of the variable interest entities is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Factors—Risks Related to Our Corporate Structure—If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 and “—Uncertainties exist with respect to the interpretation and implementation of the enacted PRC Foreign Investment Law and how it may impact the viability of our current corporate structure, corporate governance and business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variable interest entities. If the PRC government deems that our contractual arrangements with the variable interest entities do not comply with PRC regulatory restrictions on foreign investment in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and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whole. For a detailed description of the risks associated with our corporate structure, please refer to “Item 3. Key Information—D. Risk Factors— Risks Related to Our Corporate Structure.”</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China. Our business operations are primarily conducted in China, and we are subject to complex and evolving PRC laws and regulations. For example, we face risks associated with regulatory approvals on our future offshore offerings (if any), anti-monopoly regulatory actions and oversight on cybersecurity and data privacy, which may impact our ability to conduct certain businesses, accept foreign investments or list on or remain listed on United States or other foreign exchanges outside of China. These risks could result in a material adverse change in our operations and the value of our ADSs, significantly limit or completely hinder our ability to continue to offer securities to investors, or cause the value of such securities to significantly decline or be of little or no value. For a detailed description of risks related to doing business in China, please refer to “Item 3.D. Key Information—Risk Factors—Risks Related to Doing Business in China.”</w:t>
      </w:r>
    </w:p>
    <w:p>
      <w:pPr>
        <w:spacing w:after="0" w:line="1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certain jurisdictions and we use an accounting firm headquartered in one of those jurisdictions to issue an audit report on our financial statements to be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Our Business—The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cause the value of such securities to significantly decline or be of little or no value. For more details, see “Item 3. Key Information—D. Risk Factors—Risks Related to Doing Business in China—The PRC government’s oversight and discretion over our business operation could result in a material adverse change in our operations and the value of our ADSs.”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Information—D. Risk Factors—Risks Related to Doing Business in China—Uncertainties with respect to the PRC legal system could adversely affect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the variable interest entities and their subsidiaries in China. Our operations in China are governed by PRC laws and regulations. As of the date of this annual report, our PRC subsidiaries, the variable interest entities and their subsidiaries in China have obtained the requisite licenses and permits from the PRC government authorities that are material for the business operations of our holding company, our PRC subsidiaries, the variable interest entities and their subsidiaries in China, including, among others, the Value-added Telecommunication Services License and Online Culture Operation Permit. However, given the uncertainties of interpretation and implementation of laws and regulations and the enforcement practices of government authorities, we cannot assure you that we have obtained or will obtain all permits or licenses required for conducting our business in China. For example, Shenzhen Xunlei, an entity that provides video content display services, is not a registered owner of the license for online transmission of audio-visual programs. As a result, it is possible that the PRC government authorities could determine that these businesses are operating without proper licenses. We may be required to obtain additional licenses, permits, filings or approvals for the functions and services of our platform in the future. For more details, see “Item 3. Key Information—D. Risk Factors— Risks Related to Our Business—We are strictly regulated in China. Any lack of requisite licenses or permits applicable to our businesses or to our third-party services providers and any changes in government policies or regulations may have a material and adverse impact on our businesses, financial condition and results of operations.”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each of Shenzhen Xunlei and its consolidated entities that operate online games has obtained a Value-added Telecommunication Services License for operating our online game business. Shenzhen Xunlei, which holds 70% of the equity interest in Xunlei Games, had previously obtained an Internet Publishing Services License for the publication of internet games, which expired on September 17, 2022. We have submitted the renewal application, however, as of the date of this annual report, the renewal has not yet been approved. Furthermore, none of Shenzhen Xunlei or any of its subsidiaries that operates online games has obtained an Internet Publishing Services License. Given the uncertainties involved in the interpretation and implementation of laws and regulations and the enforcement practices of government authorities, we cannot assure you that Shenzhen Xunlei and its consolidated entities that operate online games are not required to obtain Internet Publishing Services Licenses as well. As a result, PRC government authorities may find that these entities are operating online game services without having the proper license and may penalize us accordingly. Upon such event, Shenzhen Xunlei and its consolidated entities that operate online games could be ordered to cease their operations of such online game services and could be subject to confiscation of illegal income and major equipment, or to fines. As of the date of this annual report, we have not received any administrative penalties, including fines, restrictions or suspension of our business, or regulatory inquiries for our operation without an effective Internet Publishing Services License. For more details, see “Item 3. Key Information—D. Risk Factors— Risks Related to Our Business—We may not be able to successfully address the challenges and risks we face in the online games market, such as a failure to operate popular, high-quality games or to obtain all the licenses required to operate online games, which may subject us to penalties from the government authorities, including the discontinuance of our online game business.”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previous issuance of securities to foreign investors, under PRC laws, regulations and rules, as of the date of this annual report, we, our PRC subsidiaries and the variable interest entities (i) are not required to obtain permissions from the China Securities Regulatory Commission, or the CSRC, (ii) are not required to go through a cybersecurity review by the Cyberspace Administration of China, and (iii) have not received or been denied such requisite permissions by any PRC authorities.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 PRC government has promulgated rules and regulations to exert more oversight and control over offerings that are conducted overseas and/or foreign investment in China-based issuers. For more details, see “Item 3. Key Information—D. Risk Factors —Risks Related to Doing Business in China—The approval of and the filing with the CSRC or other PRC government authorities may be required in connection with our future offshore offerings (if any) under PRC law, and, if required, we cannot predict whether or for how long we will be able to obtain such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PRC laws, Xunlei Limited may provide funding to our PRC subsidiaries only through capital contributions or loans, and to the variable interest entities only through loans, subject to satisfaction of applicable registration and approval requirements from the PRC government. For the years ended December 31, 2023, 2024 and 2025, Shenzhen Xunlei received debt financing of US$0.4 million, US$7.0 million and US$5.7 million from Giganology Shenzhen, in this annual report,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Xunlei Limited is a holding company with no material operations of its own. We conduct our operations primarily through our PRC subsidiaries, the variable interest entities and their subsidiaries in China. As a result, Xunlei Limited’s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PRC subsidiaries and the variable interest entities is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Prospects—Liquidity and Capital Resources” and “Item 3. Key Information—Risk Factors—Risks Related to Our Corporate Structure—We may rely principally on dividends and other distributions on equity paid by our PRC subsidiaries to fund any cash and financing requirements we may have. Any limitation on the ability of Giganology Shenzhen and Xunlei Computer to pay dividends to us could have a material adverse effect on our ability to conduct our business.”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PRC laws and regulations, our PRC subsidiaries and the variable interest entities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or SAFE. The restricted amounts include the paid-up capital and the statutory reserve funds of our PRC subsidiaries and the net assets of the variable interest entities, in which we have no legal ownership, US$173.2 million, US$173.8 million and US$175.0 million, as of December 31, 2023, 2024 and 2025, respectively. For details, see “Item 3. Key Information—Risk Factors—Risks Related to Our Corporate Structure—PRC regulation of loans to, and direct investment in, PRC entities by offshore holding companies and government control of currency conversion may restrict or prevent us from making loans to our PRC subsidiaries and variable interest entities and their subsidiaries or making additional capital contributions to our PRC subsidiaries, which may materially and adversely affect our liquidity and our ability to fund and expand our business.”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year ended December 31, 2023, 2024 and 2025, no assets other than cash were transferred through our organization.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Xunlei Limited has not declared or paid any cash dividends. Our priority is to retain sufficient funds to support the development and growth of our businesses, unless there are any particular arrangements or decisions made by our board of directors in accordance with applicable laws. See “Item 8. Financial Information—A. Consolidated Statements and Other Financial Information—Dividend Policy.” For the material Cayman Islands, PRC and U.S. federal income tax consequences of an investment in our ADSs or common shares, see “Item 10. Additional Information—E.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reflects the hypothetical taxes that might be required to be paid within mainland China, assuming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we have taxable earnings, and (ii) we determine to pay a dividend in the future: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70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tcPr>
          <w:p>
            <w:pPr>
              <w:jc w:val="right"/>
              <w:ind w:right="156"/>
              <w:spacing w:after="0" w:line="176" w:lineRule="exact"/>
              <w:rPr>
                <w:sz w:val="20"/>
                <w:szCs w:val="20"/>
                <w:color w:val="auto"/>
              </w:rPr>
            </w:pPr>
            <w:r>
              <w:rPr>
                <w:rFonts w:ascii="Times New Roman" w:cs="Times New Roman" w:eastAsia="Times New Roman" w:hAnsi="Times New Roman"/>
                <w:sz w:val="14"/>
                <w:szCs w:val="14"/>
                <w:b w:val="1"/>
                <w:bCs w:val="1"/>
                <w:color w:val="auto"/>
              </w:rPr>
              <w:t>calculation</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2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tc>
        <w:tc>
          <w:tcPr>
            <w:tcW w:w="270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tc>
        <w:tc>
          <w:tcPr>
            <w:tcW w:w="270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Xunlei Limited/shareholders</w:t>
            </w:r>
          </w:p>
        </w:tc>
        <w:tc>
          <w:tcPr>
            <w:tcW w:w="2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35" w:lineRule="exact"/>
        <w:rPr>
          <w:sz w:val="20"/>
          <w:szCs w:val="20"/>
          <w:color w:val="auto"/>
        </w:rPr>
      </w:pPr>
    </w:p>
    <w:p>
      <w:pPr>
        <w:ind w:left="340" w:hanging="332"/>
        <w:spacing w:after="0" w:line="29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example, the tax calculation has been simplified. The hypothetical book pre-tax earnings amount, not considering timing differences, is assumed to equal taxable income in China.</w:t>
      </w:r>
    </w:p>
    <w:p>
      <w:pPr>
        <w:spacing w:after="0" w:line="164" w:lineRule="exact"/>
        <w:rPr>
          <w:rFonts w:ascii="Times New Roman" w:cs="Times New Roman" w:eastAsia="Times New Roman" w:hAnsi="Times New Roman"/>
          <w:sz w:val="16"/>
          <w:szCs w:val="16"/>
          <w:color w:val="auto"/>
        </w:rPr>
      </w:pPr>
    </w:p>
    <w:p>
      <w:pPr>
        <w:jc w:val="both"/>
        <w:ind w:left="340" w:hanging="332"/>
        <w:spacing w:after="0" w:line="27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VIE agreements, our PRC subsidiaries may charge the VIEs for services provided to VIEs. These service fees shall be recognized as expenses of the VIEs, with a corresponding amount as service income by our PRC subsidiaries and eliminate in consolidation. For income tax purposes, our PRC subsidiaries and VIEs file income tax returns on a separate company basis. The service fees paid are recognized as a tax deduction by the VIEs and as income by our PRC subsidiaries and are tax neutral.</w:t>
      </w:r>
    </w:p>
    <w:p>
      <w:pPr>
        <w:spacing w:after="0" w:line="182" w:lineRule="exact"/>
        <w:rPr>
          <w:rFonts w:ascii="Times New Roman" w:cs="Times New Roman" w:eastAsia="Times New Roman" w:hAnsi="Times New Roman"/>
          <w:sz w:val="16"/>
          <w:szCs w:val="16"/>
          <w:color w:val="auto"/>
        </w:rPr>
      </w:pPr>
    </w:p>
    <w:p>
      <w:pPr>
        <w:jc w:val="both"/>
        <w:ind w:left="340" w:hanging="332"/>
        <w:spacing w:after="0" w:line="281"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subsidiaries and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77"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Enterprise Income Tax Law imposes a withholding income tax of 10% on dividends distributed by a foreign invested enterprise to its immediate holding company outside of China. A lower withholding income tax rate of 5% is applied if a VIE’s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table above is based on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 This would result in the double taxation of earnings: once at the VIE level (nondeductible expense) and again at the WFOE level (for presumptive earnings on the transfer). This has the impact of reducing the amount available above from 67.5% to approximately 50.6% of pre-tax income, respectively. We believe that there is only a remote possibility that this scenario would happen.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Variable Interest Entities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financial information of Xunlei Limited, our WFOEs (which are the primary beneficiaries of the VIEs), our other subsidiaries (excluding our WFOEs), and the VIEs and their subsidiaries, for the years ended December 31, 2023, 2024 and 2025 and as of the dates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Consolidated Statements of Operations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gridSpan w:val="3"/>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6"/>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20" w:type="dxa"/>
            <w:vAlign w:val="bottom"/>
            <w:gridSpan w:val="4"/>
          </w:tcPr>
          <w:p>
            <w:pPr>
              <w:jc w:val="right"/>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gridSpan w:val="3"/>
            <w:vMerge w:val="continue"/>
          </w:tcPr>
          <w:p>
            <w:pPr>
              <w:spacing w:after="0"/>
              <w:rPr>
                <w:sz w:val="15"/>
                <w:szCs w:val="15"/>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gridSpan w:val="3"/>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140" w:type="dxa"/>
            <w:vAlign w:val="bottom"/>
            <w:gridSpan w:val="3"/>
            <w:vMerge w:val="continue"/>
          </w:tcPr>
          <w:p>
            <w:pPr>
              <w:spacing w:after="0"/>
              <w:rPr>
                <w:sz w:val="11"/>
                <w:szCs w:val="11"/>
                <w:color w:val="auto"/>
              </w:rPr>
            </w:pPr>
          </w:p>
        </w:tc>
        <w:tc>
          <w:tcPr>
            <w:tcW w:w="940" w:type="dxa"/>
            <w:vAlign w:val="bottom"/>
            <w:tcBorders>
              <w:top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total revenues </w:t>
            </w:r>
            <w:r>
              <w:rPr>
                <w:rFonts w:ascii="Times New Roman" w:cs="Times New Roman" w:eastAsia="Times New Roman" w:hAnsi="Times New Roman"/>
                <w:sz w:val="25"/>
                <w:szCs w:val="25"/>
                <w:color w:val="auto"/>
                <w:vertAlign w:val="superscript"/>
              </w:rPr>
              <w:t>(1)(5)</w:t>
            </w:r>
          </w:p>
        </w:tc>
        <w:tc>
          <w:tcPr>
            <w:tcW w:w="82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Third-party total revenues</w:t>
            </w:r>
          </w:p>
        </w:tc>
        <w:tc>
          <w:tcPr>
            <w:tcW w:w="820" w:type="dxa"/>
            <w:vAlign w:val="bottom"/>
            <w:gridSpan w:val="6"/>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126,363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336,047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costs of revenues</w:t>
            </w:r>
          </w:p>
        </w:tc>
        <w:tc>
          <w:tcPr>
            <w:tcW w:w="82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Third-party costs of revenues</w:t>
            </w:r>
          </w:p>
        </w:tc>
        <w:tc>
          <w:tcPr>
            <w:tcW w:w="820" w:type="dxa"/>
            <w:vAlign w:val="bottom"/>
            <w:gridSpan w:val="6"/>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(81,208)</w:t>
            </w: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(161,678)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operating expenses </w:t>
            </w:r>
            <w:r>
              <w:rPr>
                <w:rFonts w:ascii="Times New Roman" w:cs="Times New Roman" w:eastAsia="Times New Roman" w:hAnsi="Times New Roman"/>
                <w:sz w:val="25"/>
                <w:szCs w:val="25"/>
                <w:color w:val="auto"/>
                <w:vertAlign w:val="superscript"/>
              </w:rPr>
              <w:t>(1)(5)</w:t>
            </w:r>
          </w:p>
        </w:tc>
        <w:tc>
          <w:tcPr>
            <w:tcW w:w="82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40" w:type="dxa"/>
            <w:vAlign w:val="bottom"/>
          </w:tcPr>
          <w:p>
            <w:pPr>
              <w:spacing w:after="0"/>
              <w:rPr>
                <w:sz w:val="18"/>
                <w:szCs w:val="18"/>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(38,417)</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(161,111)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Profit from subsidiaries and consolidated VIE </w:t>
            </w:r>
            <w:r>
              <w:rPr>
                <w:rFonts w:ascii="Times New Roman" w:cs="Times New Roman" w:eastAsia="Times New Roman" w:hAnsi="Times New Roman"/>
                <w:sz w:val="25"/>
                <w:szCs w:val="25"/>
                <w:color w:val="auto"/>
                <w:vertAlign w:val="superscript"/>
              </w:rPr>
              <w:t>(2)</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1,050,119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9,936</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Xunlei Limited</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1,048,265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1,048,348</w:t>
            </w:r>
          </w:p>
        </w:tc>
        <w:tc>
          <w:tcPr>
            <w:tcW w:w="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6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(1,067,713)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1,048,265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1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7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140" w:type="dxa"/>
            <w:vAlign w:val="bottom"/>
            <w:gridSpan w:val="6"/>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VIEs and their</w:t>
            </w:r>
          </w:p>
        </w:tc>
        <w:tc>
          <w:tcPr>
            <w:tcW w:w="1020" w:type="dxa"/>
            <w:vAlign w:val="bottom"/>
            <w:gridSpan w:val="4"/>
          </w:tcPr>
          <w:p>
            <w:pPr>
              <w:jc w:val="right"/>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gridSpan w:val="6"/>
          </w:tcPr>
          <w:p>
            <w:pPr>
              <w:ind w:left="4080"/>
              <w:spacing w:after="0" w:line="149" w:lineRule="exact"/>
              <w:rPr>
                <w:sz w:val="20"/>
                <w:szCs w:val="20"/>
                <w:color w:val="auto"/>
              </w:rPr>
            </w:pPr>
            <w:r>
              <w:rPr>
                <w:rFonts w:ascii="Times New Roman" w:cs="Times New Roman" w:eastAsia="Times New Roman" w:hAnsi="Times New Roman"/>
                <w:sz w:val="14"/>
                <w:szCs w:val="14"/>
                <w:b w:val="1"/>
                <w:bCs w:val="1"/>
                <w:color w:val="auto"/>
              </w:rPr>
              <w:t>​​​ Limited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w w:val="79"/>
              </w:rPr>
              <w:t>(US</w:t>
            </w:r>
          </w:p>
        </w:tc>
        <w:tc>
          <w:tcPr>
            <w:tcW w:w="160" w:type="dxa"/>
            <w:vAlign w:val="bottom"/>
            <w:gridSpan w:val="3"/>
            <w:vMerge w:val="continue"/>
          </w:tcPr>
          <w:p>
            <w:pPr>
              <w:spacing w:after="0"/>
              <w:rPr>
                <w:sz w:val="11"/>
                <w:szCs w:val="11"/>
                <w:color w:val="auto"/>
              </w:rPr>
            </w:pPr>
          </w:p>
        </w:tc>
        <w:tc>
          <w:tcPr>
            <w:tcW w:w="1040" w:type="dxa"/>
            <w:vAlign w:val="bottom"/>
            <w:gridSpan w:val="4"/>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total revenues </w:t>
            </w:r>
            <w:r>
              <w:rPr>
                <w:rFonts w:ascii="Times New Roman" w:cs="Times New Roman" w:eastAsia="Times New Roman" w:hAnsi="Times New Roman"/>
                <w:sz w:val="25"/>
                <w:szCs w:val="25"/>
                <w:color w:val="auto"/>
                <w:vertAlign w:val="superscript"/>
              </w:rPr>
              <w:t>(1)(5)</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Third-party total revenues</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256,150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costs of revenues</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operating expenses </w:t>
            </w:r>
            <w:r>
              <w:rPr>
                <w:rFonts w:ascii="Times New Roman" w:cs="Times New Roman" w:eastAsia="Times New Roman" w:hAnsi="Times New Roman"/>
                <w:sz w:val="25"/>
                <w:szCs w:val="25"/>
                <w:color w:val="auto"/>
                <w:vertAlign w:val="superscript"/>
              </w:rPr>
              <w:t>(1)(5)</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(12,695)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6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(146,261)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(Loss)/Profit from subsidiaries and consolidated VIE</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1"/>
        </w:trPr>
        <w:tc>
          <w:tcPr>
            <w:tcW w:w="4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Xunlei Limited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6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0" w:type="dxa"/>
            <w:vAlign w:val="bottom"/>
            <w:gridSpan w:val="3"/>
          </w:tcPr>
          <w:p>
            <w:pPr>
              <w:ind w:left="4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1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70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140" w:type="dxa"/>
            <w:vAlign w:val="bottom"/>
            <w:gridSpan w:val="6"/>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 VIEs and their</w:t>
            </w:r>
          </w:p>
        </w:tc>
        <w:tc>
          <w:tcPr>
            <w:tcW w:w="1020" w:type="dxa"/>
            <w:vAlign w:val="bottom"/>
            <w:gridSpan w:val="4"/>
          </w:tcPr>
          <w:p>
            <w:pPr>
              <w:jc w:val="right"/>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subsidiaries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w w:val="88"/>
              </w:rPr>
              <w:t>(US</w:t>
            </w:r>
          </w:p>
        </w:tc>
        <w:tc>
          <w:tcPr>
            <w:tcW w:w="160" w:type="dxa"/>
            <w:vAlign w:val="bottom"/>
            <w:gridSpan w:val="3"/>
            <w:vMerge w:val="continue"/>
          </w:tcPr>
          <w:p>
            <w:pPr>
              <w:spacing w:after="0"/>
              <w:rPr>
                <w:sz w:val="11"/>
                <w:szCs w:val="11"/>
                <w:color w:val="auto"/>
              </w:rPr>
            </w:pPr>
          </w:p>
        </w:tc>
        <w:tc>
          <w:tcPr>
            <w:tcW w:w="1020" w:type="dxa"/>
            <w:vAlign w:val="bottom"/>
            <w:gridSpan w:val="3"/>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Inter-company total revenues</w:t>
            </w:r>
            <w:r>
              <w:rPr>
                <w:rFonts w:ascii="Times New Roman" w:cs="Times New Roman" w:eastAsia="Times New Roman" w:hAnsi="Times New Roman"/>
                <w:sz w:val="25"/>
                <w:szCs w:val="25"/>
                <w:color w:val="auto"/>
                <w:vertAlign w:val="superscript"/>
              </w:rPr>
              <w:t>(1)(5)</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Third-party total revenues</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330,860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costs of revenues</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(177,060)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Inter-company operating expenses</w:t>
            </w:r>
            <w:r>
              <w:rPr>
                <w:rFonts w:ascii="Times New Roman" w:cs="Times New Roman" w:eastAsia="Times New Roman" w:hAnsi="Times New Roman"/>
                <w:sz w:val="25"/>
                <w:szCs w:val="25"/>
                <w:color w:val="auto"/>
                <w:vertAlign w:val="superscript"/>
              </w:rPr>
              <w:t>(1)(5)</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(12,896)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11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Profit from subsidiaries and consolidated VIE </w:t>
            </w:r>
            <w:r>
              <w:rPr>
                <w:rFonts w:ascii="Times New Roman" w:cs="Times New Roman" w:eastAsia="Times New Roman" w:hAnsi="Times New Roman"/>
                <w:sz w:val="25"/>
                <w:szCs w:val="25"/>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(30,096)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Xunlei Limited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(30,096)</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Consolidated Balance Sheets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20" w:type="dxa"/>
            <w:vAlign w:val="bottom"/>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100" w:type="dxa"/>
            <w:vAlign w:val="bottom"/>
          </w:tcPr>
          <w:p>
            <w:pPr>
              <w:spacing w:after="0"/>
              <w:rPr>
                <w:sz w:val="10"/>
                <w:szCs w:val="10"/>
                <w:color w:val="auto"/>
              </w:rPr>
            </w:pPr>
          </w:p>
        </w:tc>
        <w:tc>
          <w:tcPr>
            <w:tcW w:w="820" w:type="dxa"/>
            <w:vAlign w:val="bottom"/>
          </w:tcPr>
          <w:p>
            <w:pPr>
              <w:jc w:val="right"/>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WFOEs</w:t>
            </w:r>
          </w:p>
        </w:tc>
        <w:tc>
          <w:tcPr>
            <w:tcW w:w="140" w:type="dxa"/>
            <w:vAlign w:val="bottom"/>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Elimination</w:t>
            </w: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840" w:type="dxa"/>
            <w:vAlign w:val="bottom"/>
            <w:gridSpan w:val="2"/>
            <w:vMerge w:val="continue"/>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subsidiaries</w:t>
            </w:r>
          </w:p>
        </w:tc>
        <w:tc>
          <w:tcPr>
            <w:tcW w:w="1040" w:type="dxa"/>
            <w:vAlign w:val="bottom"/>
            <w:gridSpan w:val="3"/>
            <w:vMerge w:val="continue"/>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Group</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vMerge w:val="continue"/>
          </w:tcPr>
          <w:p>
            <w:pPr>
              <w:spacing w:after="0"/>
              <w:rPr>
                <w:sz w:val="11"/>
                <w:szCs w:val="11"/>
                <w:color w:val="auto"/>
              </w:rPr>
            </w:pPr>
          </w:p>
        </w:tc>
        <w:tc>
          <w:tcPr>
            <w:tcW w:w="9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from group companies </w:t>
            </w:r>
            <w:r>
              <w:rPr>
                <w:rFonts w:ascii="Times New Roman" w:cs="Times New Roman" w:eastAsia="Times New Roman" w:hAnsi="Times New Roman"/>
                <w:sz w:val="25"/>
                <w:szCs w:val="25"/>
                <w:color w:val="auto"/>
                <w:vertAlign w:val="superscript"/>
              </w:rPr>
              <w:t>(3)(5)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(100,264)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and consolidated VIE </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1,124,959</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(1,313,495)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1,063,492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 non-current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20" w:type="dxa"/>
            <w:vAlign w:val="bottom"/>
            <w:tcBorders>
              <w:right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Amount due from group companies, non-current</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20" w:type="dxa"/>
            <w:vAlign w:val="bottom"/>
            <w:tcBorders>
              <w:right w:val="single" w:sz="8" w:color="CCEEFF"/>
            </w:tcBorders>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portion </w:t>
            </w:r>
            <w:r>
              <w:rPr>
                <w:rFonts w:ascii="Times New Roman" w:cs="Times New Roman" w:eastAsia="Times New Roman" w:hAnsi="Times New Roman"/>
                <w:sz w:val="26"/>
                <w:szCs w:val="26"/>
                <w:color w:val="auto"/>
                <w:vertAlign w:val="superscript"/>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(199,576)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prepayments and non-current assets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1,382,116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1,325,212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288,177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(1,613,741)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4,600</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37,365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to group companies </w:t>
            </w:r>
            <w:r>
              <w:rPr>
                <w:rFonts w:ascii="Times New Roman" w:cs="Times New Roman" w:eastAsia="Times New Roman" w:hAnsi="Times New Roman"/>
                <w:sz w:val="25"/>
                <w:szCs w:val="25"/>
                <w:color w:val="auto"/>
                <w:vertAlign w:val="superscript"/>
              </w:rPr>
              <w:t>(3)(5)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83,918</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(100,264)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and deferred income, current portion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current portion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 liabilities and deferred income,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portion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 non-current portion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Deficits in subsidiaries and consolidated VIE </w:t>
            </w:r>
            <w:r>
              <w:rPr>
                <w:rFonts w:ascii="Times New Roman" w:cs="Times New Roman" w:eastAsia="Times New Roman" w:hAnsi="Times New Roman"/>
                <w:sz w:val="25"/>
                <w:szCs w:val="25"/>
                <w:color w:val="auto"/>
                <w:vertAlign w:val="superscript"/>
              </w:rPr>
              <w:t>(2)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(86,547)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20" w:type="dxa"/>
            <w:vAlign w:val="bottom"/>
            <w:tcBorders>
              <w:right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Amount due to group companies, non-current portion</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w:t>
            </w:r>
          </w:p>
        </w:tc>
        <w:tc>
          <w:tcPr>
            <w:tcW w:w="40" w:type="dxa"/>
            <w:vAlign w:val="bottom"/>
            <w:shd w:val="clear" w:color="auto" w:fill="CCEEFF"/>
          </w:tcPr>
          <w:p>
            <w:pPr>
              <w:spacing w:after="0"/>
              <w:rPr>
                <w:sz w:val="16"/>
                <w:szCs w:val="16"/>
                <w:color w:val="auto"/>
              </w:rPr>
            </w:pPr>
          </w:p>
        </w:tc>
        <w:tc>
          <w:tcPr>
            <w:tcW w:w="10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(199,576)</w:t>
            </w: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8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payables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(386,793)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equity/(deficits)</w:t>
            </w: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CCEEFF"/>
            </w:tcBorders>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1,373,491</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1,196,413</w:t>
            </w:r>
          </w:p>
        </w:tc>
        <w:tc>
          <w:tcPr>
            <w:tcW w:w="14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117,082</w:t>
            </w:r>
          </w:p>
        </w:tc>
        <w:tc>
          <w:tcPr>
            <w:tcW w:w="14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(86,547)</w:t>
            </w:r>
          </w:p>
        </w:tc>
        <w:tc>
          <w:tcPr>
            <w:tcW w:w="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(1,226,948)</w:t>
            </w:r>
          </w:p>
        </w:tc>
        <w:tc>
          <w:tcPr>
            <w:tcW w:w="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1,373,491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non-controlling interests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1,382,116</w:t>
            </w:r>
          </w:p>
        </w:tc>
        <w:tc>
          <w:tcPr>
            <w:tcW w:w="6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1,325,212</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250,159</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288,177</w:t>
            </w:r>
          </w:p>
        </w:tc>
        <w:tc>
          <w:tcPr>
            <w:tcW w:w="40" w:type="dxa"/>
            <w:vAlign w:val="bottom"/>
          </w:tcPr>
          <w:p>
            <w:pPr>
              <w:spacing w:after="0"/>
              <w:rPr>
                <w:sz w:val="15"/>
                <w:szCs w:val="15"/>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(1,613,741)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1,631,923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gridSpan w:val="2"/>
          </w:tcPr>
          <w:p>
            <w:pPr>
              <w:ind w:left="44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108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Other    ​​​</w:t>
            </w: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10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920" w:type="dxa"/>
            <w:vAlign w:val="bottom"/>
            <w:gridSpan w:val="3"/>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40" w:type="dxa"/>
            <w:vAlign w:val="bottom"/>
            <w:vMerge w:val="continue"/>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5"/>
                <w:szCs w:val="15"/>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vMerge w:val="continue"/>
          </w:tcPr>
          <w:p>
            <w:pPr>
              <w:spacing w:after="0"/>
              <w:rPr>
                <w:sz w:val="11"/>
                <w:szCs w:val="11"/>
                <w:color w:val="auto"/>
              </w:rPr>
            </w:pPr>
          </w:p>
        </w:tc>
        <w:tc>
          <w:tcPr>
            <w:tcW w:w="900" w:type="dxa"/>
            <w:vAlign w:val="bottom"/>
            <w:tcBorders>
              <w:top w:val="single" w:sz="8" w:color="auto"/>
            </w:tcBorders>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from group companies </w:t>
            </w:r>
            <w:r>
              <w:rPr>
                <w:rFonts w:ascii="Times New Roman" w:cs="Times New Roman" w:eastAsia="Times New Roman" w:hAnsi="Times New Roman"/>
                <w:sz w:val="25"/>
                <w:szCs w:val="25"/>
                <w:color w:val="auto"/>
                <w:vertAlign w:val="superscript"/>
              </w:rPr>
              <w:t>(3)(5)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(99,819)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and consolidated VIE </w:t>
            </w:r>
            <w:r>
              <w:rPr>
                <w:rFonts w:ascii="Times New Roman" w:cs="Times New Roman" w:eastAsia="Times New Roman" w:hAnsi="Times New Roman"/>
                <w:sz w:val="25"/>
                <w:szCs w:val="25"/>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(236,342)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from group companies, non-current portion </w:t>
            </w:r>
            <w:r>
              <w:rPr>
                <w:rFonts w:ascii="Times New Roman" w:cs="Times New Roman" w:eastAsia="Times New Roman" w:hAnsi="Times New Roman"/>
                <w:sz w:val="25"/>
                <w:szCs w:val="25"/>
                <w:color w:val="auto"/>
                <w:vertAlign w:val="superscript"/>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200,855</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(200,855)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prepayments and non-current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330,006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257,658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237,550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(537,476)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3,634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to group companies </w:t>
            </w:r>
            <w:r>
              <w:rPr>
                <w:rFonts w:ascii="Times New Roman" w:cs="Times New Roman" w:eastAsia="Times New Roman" w:hAnsi="Times New Roman"/>
                <w:sz w:val="25"/>
                <w:szCs w:val="25"/>
                <w:color w:val="auto"/>
                <w:vertAlign w:val="superscript"/>
              </w:rPr>
              <w:t>(3)(5)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84,476</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(99,819)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and deferred income, current portion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current portion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Contract liabilities and deferred income,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portion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borrowings, non-current portion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Deficits in subsidiaries and consolidated VIE </w:t>
            </w:r>
            <w:r>
              <w:rPr>
                <w:rFonts w:ascii="Times New Roman" w:cs="Times New Roman" w:eastAsia="Times New Roman" w:hAnsi="Times New Roman"/>
                <w:sz w:val="25"/>
                <w:szCs w:val="25"/>
                <w:color w:val="auto"/>
                <w:vertAlign w:val="superscript"/>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96,254</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(96,254)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to group companies, non-current portion </w:t>
            </w:r>
            <w:r>
              <w:rPr>
                <w:rFonts w:ascii="Times New Roman" w:cs="Times New Roman" w:eastAsia="Times New Roman" w:hAnsi="Times New Roman"/>
                <w:sz w:val="25"/>
                <w:szCs w:val="25"/>
                <w:color w:val="auto"/>
                <w:vertAlign w:val="superscript"/>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68,901</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(200,855)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payables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139,358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(397,388)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equity/(deficits)</w:t>
            </w: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318,056</w:t>
            </w:r>
          </w:p>
        </w:tc>
        <w:tc>
          <w:tcPr>
            <w:tcW w:w="14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138,150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98,192</w:t>
            </w:r>
          </w:p>
        </w:tc>
        <w:tc>
          <w:tcPr>
            <w:tcW w:w="16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(96,254)</w:t>
            </w:r>
          </w:p>
        </w:tc>
        <w:tc>
          <w:tcPr>
            <w:tcW w:w="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(140,088)</w:t>
            </w:r>
          </w:p>
        </w:tc>
        <w:tc>
          <w:tcPr>
            <w:tcW w:w="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318,056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non-controlling interests and</w:t>
            </w:r>
          </w:p>
        </w:tc>
        <w:tc>
          <w:tcPr>
            <w:tcW w:w="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330,006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257,658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237,550</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186,163</w:t>
            </w:r>
          </w:p>
        </w:tc>
        <w:tc>
          <w:tcPr>
            <w:tcW w:w="40" w:type="dxa"/>
            <w:vAlign w:val="bottom"/>
          </w:tcPr>
          <w:p>
            <w:pPr>
              <w:spacing w:after="0"/>
              <w:rPr>
                <w:sz w:val="15"/>
                <w:szCs w:val="15"/>
                <w:color w:val="auto"/>
              </w:rPr>
            </w:pPr>
          </w:p>
        </w:tc>
        <w:tc>
          <w:tcPr>
            <w:tcW w:w="9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(537,476)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473,901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6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gridSpan w:val="2"/>
          </w:tcPr>
          <w:p>
            <w:pPr>
              <w:ind w:left="40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940" w:type="dxa"/>
            <w:vAlign w:val="bottom"/>
            <w:gridSpan w:val="2"/>
          </w:tcPr>
          <w:p>
            <w:pPr>
              <w:jc w:val="right"/>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   Other</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WFOEs</w:t>
            </w:r>
          </w:p>
        </w:tc>
        <w:tc>
          <w:tcPr>
            <w:tcW w:w="128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 ​​​</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tcPr>
          <w:p>
            <w:pPr>
              <w:spacing w:after="0"/>
              <w:rPr>
                <w:sz w:val="11"/>
                <w:szCs w:val="11"/>
                <w:color w:val="auto"/>
              </w:rPr>
            </w:pPr>
          </w:p>
        </w:tc>
        <w:tc>
          <w:tcPr>
            <w:tcW w:w="940" w:type="dxa"/>
            <w:vAlign w:val="bottom"/>
            <w:tcBorders>
              <w:top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from group companies </w:t>
            </w:r>
            <w:r>
              <w:rPr>
                <w:rFonts w:ascii="Times New Roman" w:cs="Times New Roman" w:eastAsia="Times New Roman" w:hAnsi="Times New Roman"/>
                <w:sz w:val="25"/>
                <w:szCs w:val="25"/>
                <w:color w:val="auto"/>
                <w:vertAlign w:val="superscript"/>
              </w:rPr>
              <w:t>(3)(5)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and consolidated VIE </w:t>
            </w:r>
            <w:r>
              <w:rPr>
                <w:rFonts w:ascii="Times New Roman" w:cs="Times New Roman" w:eastAsia="Times New Roman" w:hAnsi="Times New Roman"/>
                <w:sz w:val="25"/>
                <w:szCs w:val="25"/>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(230,775)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related parties, non-current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Amount due from group companies, non-current</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4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portion </w:t>
            </w:r>
            <w:r>
              <w:rPr>
                <w:rFonts w:ascii="Times New Roman" w:cs="Times New Roman" w:eastAsia="Times New Roman" w:hAnsi="Times New Roman"/>
                <w:sz w:val="26"/>
                <w:szCs w:val="26"/>
                <w:color w:val="auto"/>
                <w:vertAlign w:val="superscript"/>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199,864</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(199,864)</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prepayments and non-current assets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336,554</w:t>
            </w: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230,974</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237,034</w:t>
            </w:r>
          </w:p>
        </w:tc>
        <w:tc>
          <w:tcPr>
            <w:tcW w:w="1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197,944</w:t>
            </w:r>
          </w:p>
        </w:tc>
        <w:tc>
          <w:tcPr>
            <w:tcW w:w="14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(533,820)</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21,517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24,430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 due to group companies </w:t>
            </w:r>
            <w:r>
              <w:rPr>
                <w:rFonts w:ascii="Times New Roman" w:cs="Times New Roman" w:eastAsia="Times New Roman" w:hAnsi="Times New Roman"/>
                <w:sz w:val="25"/>
                <w:szCs w:val="25"/>
                <w:color w:val="auto"/>
                <w:vertAlign w:val="superscript"/>
              </w:rPr>
              <w:t>(3)(5)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current portion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Contract liabilities and deferred income,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portion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borrowings, non-current portion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Deficits in subsidiaries and consolidated VIE </w:t>
            </w:r>
            <w:r>
              <w:rPr>
                <w:rFonts w:ascii="Times New Roman" w:cs="Times New Roman" w:eastAsia="Times New Roman" w:hAnsi="Times New Roman"/>
                <w:sz w:val="25"/>
                <w:szCs w:val="25"/>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90,632</w:t>
            </w:r>
          </w:p>
        </w:tc>
        <w:tc>
          <w:tcPr>
            <w:tcW w:w="1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Amount due to group companies, non-current portion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(199,864)</w:t>
            </w:r>
          </w:p>
        </w:tc>
        <w:tc>
          <w:tcPr>
            <w:tcW w:w="1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11,692</w:t>
            </w: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102,469</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134,764</w:t>
            </w:r>
          </w:p>
        </w:tc>
        <w:tc>
          <w:tcPr>
            <w:tcW w:w="1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289,965</w:t>
            </w:r>
          </w:p>
        </w:tc>
        <w:tc>
          <w:tcPr>
            <w:tcW w:w="14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(393,677)</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shareholders’ equity/(deficits)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324,862</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128,505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102,270</w:t>
            </w:r>
          </w:p>
        </w:tc>
        <w:tc>
          <w:tcPr>
            <w:tcW w:w="1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(90,632)</w:t>
            </w: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(140,143)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324,862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1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non-controlling interests and</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336,554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230,974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197,944</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(533,820)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Consolidated Statements of Cash Flows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Xunlei</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WFOEs</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9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Limited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gridSpan w:val="3"/>
            <w:vMerge w:val="continue"/>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980" w:type="dxa"/>
            <w:vAlign w:val="bottom"/>
            <w:gridSpan w:val="3"/>
            <w:vMerge w:val="continue"/>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Group</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4"/>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Purchases of goods and services from group companies</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(2,399)</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(29,486)</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Sales of goods and services to group companies </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28,975</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(31,888)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activities with external parties</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in)/generated from operating</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6,443</w:t>
            </w:r>
          </w:p>
        </w:tc>
        <w:tc>
          <w:tcPr>
            <w:tcW w:w="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25,515</w:t>
            </w: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32,479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Loans to group companies </w:t>
            </w:r>
            <w:r>
              <w:rPr>
                <w:rFonts w:ascii="Times New Roman" w:cs="Times New Roman" w:eastAsia="Times New Roman" w:hAnsi="Times New Roman"/>
                <w:sz w:val="24"/>
                <w:szCs w:val="24"/>
                <w:color w:val="auto"/>
                <w:vertAlign w:val="superscript"/>
              </w:rPr>
              <w:t>(4)</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 of loans from group companies </w:t>
            </w:r>
            <w:r>
              <w:rPr>
                <w:rFonts w:ascii="Times New Roman" w:cs="Times New Roman" w:eastAsia="Times New Roman" w:hAnsi="Times New Roman"/>
                <w:sz w:val="25"/>
                <w:szCs w:val="25"/>
                <w:color w:val="auto"/>
                <w:vertAlign w:val="superscript"/>
              </w:rPr>
              <w:t>(4)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(44,529)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 with external parties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(5,472)</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(29,523)</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generated from/(used in) investing</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(5,472)</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(47,607)</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(70,526)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21,429</w:t>
            </w:r>
          </w:p>
        </w:tc>
        <w:tc>
          <w:tcPr>
            <w:tcW w:w="4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(99,096)</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Loans from group companies </w:t>
            </w:r>
            <w:r>
              <w:rPr>
                <w:rFonts w:ascii="Times New Roman" w:cs="Times New Roman" w:eastAsia="Times New Roman" w:hAnsi="Times New Roman"/>
                <w:sz w:val="24"/>
                <w:szCs w:val="24"/>
                <w:color w:val="auto"/>
                <w:vertAlign w:val="superscript"/>
              </w:rPr>
              <w:t>(4)</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 of loans to group companies </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(42,164)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with external parties</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in)/generated from financing</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64,515</w:t>
            </w:r>
          </w:p>
        </w:tc>
        <w:tc>
          <w:tcPr>
            <w:tcW w:w="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(21,429)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45,480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(22,092)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beginning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year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73,009</w:t>
            </w: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rates on cash, cash equivalents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33,556</w:t>
            </w:r>
          </w:p>
        </w:tc>
        <w:tc>
          <w:tcPr>
            <w:tcW w:w="20" w:type="dxa"/>
            <w:vAlign w:val="bottom"/>
          </w:tcPr>
          <w:p>
            <w:pPr>
              <w:spacing w:after="0"/>
              <w:rPr>
                <w:sz w:val="16"/>
                <w:szCs w:val="16"/>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32,847</w:t>
            </w:r>
          </w:p>
        </w:tc>
        <w:tc>
          <w:tcPr>
            <w:tcW w:w="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51,725</w:t>
            </w:r>
          </w:p>
        </w:tc>
        <w:tc>
          <w:tcPr>
            <w:tcW w:w="2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39,698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157,826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ind w:right="653"/>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40" w:type="dxa"/>
            <w:vAlign w:val="bottom"/>
            <w:gridSpan w:val="4"/>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 Xunlei</w:t>
            </w:r>
          </w:p>
        </w:tc>
        <w:tc>
          <w:tcPr>
            <w:tcW w:w="2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7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900" w:type="dxa"/>
            <w:vAlign w:val="bottom"/>
            <w:gridSpan w:val="3"/>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WFOEs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 w:type="dxa"/>
            <w:vAlign w:val="bottom"/>
          </w:tcPr>
          <w:p>
            <w:pPr>
              <w:spacing w:after="0"/>
              <w:rPr>
                <w:sz w:val="15"/>
                <w:szCs w:val="15"/>
                <w:color w:val="auto"/>
              </w:rPr>
            </w:pPr>
          </w:p>
        </w:tc>
      </w:tr>
      <w:tr>
        <w:trPr>
          <w:trHeight w:val="129"/>
        </w:trPr>
        <w:tc>
          <w:tcPr>
            <w:tcW w:w="2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4"/>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Purchases of goods and services from group companies </w:t>
            </w:r>
            <w:r>
              <w:rPr>
                <w:rFonts w:ascii="Times New Roman" w:cs="Times New Roman" w:eastAsia="Times New Roman" w:hAnsi="Times New Roman"/>
                <w:sz w:val="25"/>
                <w:szCs w:val="25"/>
                <w:color w:val="auto"/>
                <w:vertAlign w:val="superscript"/>
              </w:rPr>
              <w:t>(4)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Sales of goods and services to group companies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activities with external parties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operating activities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9,019</w:t>
            </w:r>
          </w:p>
        </w:tc>
        <w:tc>
          <w:tcPr>
            <w:tcW w:w="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30,307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30,976</w:t>
            </w:r>
          </w:p>
        </w:tc>
        <w:tc>
          <w:tcPr>
            <w:tcW w:w="20" w:type="dxa"/>
            <w:vAlign w:val="bottom"/>
          </w:tcPr>
          <w:p>
            <w:pPr>
              <w:spacing w:after="0"/>
              <w:rPr>
                <w:sz w:val="18"/>
                <w:szCs w:val="18"/>
                <w:color w:val="auto"/>
              </w:rPr>
            </w:pPr>
          </w:p>
        </w:tc>
      </w:tr>
      <w:tr>
        <w:trPr>
          <w:trHeight w:val="210"/>
        </w:trPr>
        <w:tc>
          <w:tcPr>
            <w:tcW w:w="46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Loans to group companies </w:t>
            </w:r>
            <w:r>
              <w:rPr>
                <w:rFonts w:ascii="Times New Roman" w:cs="Times New Roman" w:eastAsia="Times New Roman" w:hAnsi="Times New Roman"/>
                <w:sz w:val="24"/>
                <w:szCs w:val="24"/>
                <w:color w:val="auto"/>
                <w:vertAlign w:val="superscript"/>
              </w:rPr>
              <w:t>(4)</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 of loans from group companies </w:t>
            </w:r>
            <w:r>
              <w:rPr>
                <w:rFonts w:ascii="Times New Roman" w:cs="Times New Roman" w:eastAsia="Times New Roman" w:hAnsi="Times New Roman"/>
                <w:sz w:val="25"/>
                <w:szCs w:val="25"/>
                <w:color w:val="auto"/>
                <w:vertAlign w:val="superscript"/>
              </w:rPr>
              <w:t>(4)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28,028</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(28,893)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 with external parties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(2,808)</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(24,136)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(2,308)</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(3,111)</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(10,091)</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(21,913)</w:t>
            </w:r>
          </w:p>
        </w:tc>
        <w:tc>
          <w:tcPr>
            <w:tcW w:w="20" w:type="dxa"/>
            <w:vAlign w:val="bottom"/>
          </w:tcPr>
          <w:p>
            <w:pPr>
              <w:spacing w:after="0"/>
              <w:rPr>
                <w:sz w:val="18"/>
                <w:szCs w:val="18"/>
                <w:color w:val="auto"/>
              </w:rPr>
            </w:pPr>
          </w:p>
        </w:tc>
      </w:tr>
      <w:tr>
        <w:trPr>
          <w:trHeight w:val="210"/>
        </w:trPr>
        <w:tc>
          <w:tcPr>
            <w:tcW w:w="46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Loans from group companies </w:t>
            </w:r>
            <w:r>
              <w:rPr>
                <w:rFonts w:ascii="Times New Roman" w:cs="Times New Roman" w:eastAsia="Times New Roman" w:hAnsi="Times New Roman"/>
                <w:sz w:val="24"/>
                <w:szCs w:val="24"/>
                <w:color w:val="auto"/>
                <w:vertAlign w:val="superscript"/>
              </w:rPr>
              <w:t>(4)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 of loans to group companies </w:t>
            </w:r>
            <w:r>
              <w:rPr>
                <w:rFonts w:ascii="Times New Roman" w:cs="Times New Roman" w:eastAsia="Times New Roman" w:hAnsi="Times New Roman"/>
                <w:sz w:val="25"/>
                <w:szCs w:val="25"/>
                <w:color w:val="auto"/>
                <w:vertAlign w:val="superscript"/>
              </w:rPr>
              <w:t>(4)</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with external parties</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financing activities</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7,058</w:t>
            </w:r>
          </w:p>
        </w:tc>
        <w:tc>
          <w:tcPr>
            <w:tcW w:w="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(342)</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(14,257)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14,809</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20" w:type="dxa"/>
            <w:vAlign w:val="bottom"/>
          </w:tcPr>
          <w:p>
            <w:pPr>
              <w:spacing w:after="0"/>
              <w:rPr>
                <w:sz w:val="18"/>
                <w:szCs w:val="18"/>
                <w:color w:val="auto"/>
              </w:rPr>
            </w:pP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8,138</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86,835</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170,802</w:t>
            </w:r>
          </w:p>
        </w:tc>
        <w:tc>
          <w:tcPr>
            <w:tcW w:w="20" w:type="dxa"/>
            <w:vAlign w:val="bottom"/>
          </w:tcPr>
          <w:p>
            <w:pPr>
              <w:spacing w:after="0"/>
              <w:rPr>
                <w:sz w:val="18"/>
                <w:szCs w:val="18"/>
                <w:color w:val="auto"/>
              </w:rPr>
            </w:pPr>
          </w:p>
        </w:tc>
      </w:tr>
      <w:tr>
        <w:trPr>
          <w:trHeight w:val="198"/>
        </w:trPr>
        <w:tc>
          <w:tcPr>
            <w:tcW w:w="4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rates on cash, cash equivalents and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 w:type="dxa"/>
            <w:vAlign w:val="bottom"/>
          </w:tcPr>
          <w:p>
            <w:pPr>
              <w:spacing w:after="0"/>
              <w:rPr>
                <w:sz w:val="20"/>
                <w:szCs w:val="20"/>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33,275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28,531</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73,009</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42,732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177,547</w:t>
            </w:r>
          </w:p>
        </w:tc>
        <w:tc>
          <w:tcPr>
            <w:tcW w:w="2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40" w:type="dxa"/>
            <w:vAlign w:val="bottom"/>
            <w:gridSpan w:val="4"/>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Xunlei</w:t>
            </w:r>
          </w:p>
        </w:tc>
        <w:tc>
          <w:tcPr>
            <w:tcW w:w="22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78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​​​VIEs and their</w:t>
            </w:r>
          </w:p>
        </w:tc>
        <w:tc>
          <w:tcPr>
            <w:tcW w:w="900" w:type="dxa"/>
            <w:vAlign w:val="bottom"/>
            <w:gridSpan w:val="3"/>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WFOEs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 w:type="dxa"/>
            <w:vAlign w:val="bottom"/>
          </w:tcPr>
          <w:p>
            <w:pPr>
              <w:spacing w:after="0"/>
              <w:rPr>
                <w:sz w:val="15"/>
                <w:szCs w:val="15"/>
                <w:color w:val="auto"/>
              </w:rPr>
            </w:pPr>
          </w:p>
        </w:tc>
      </w:tr>
      <w:tr>
        <w:trPr>
          <w:trHeight w:val="128"/>
        </w:trPr>
        <w:tc>
          <w:tcPr>
            <w:tcW w:w="2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4"/>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Purchases of goods and services from group companies </w:t>
            </w:r>
            <w:r>
              <w:rPr>
                <w:rFonts w:ascii="Times New Roman" w:cs="Times New Roman" w:eastAsia="Times New Roman" w:hAnsi="Times New Roman"/>
                <w:sz w:val="25"/>
                <w:szCs w:val="25"/>
                <w:color w:val="auto"/>
                <w:vertAlign w:val="superscript"/>
              </w:rPr>
              <w:t>(4)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Sales of goods and services to group companies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activities with external parties</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4,198</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4,198</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25,716</w:t>
            </w:r>
          </w:p>
        </w:tc>
        <w:tc>
          <w:tcPr>
            <w:tcW w:w="20" w:type="dxa"/>
            <w:vAlign w:val="bottom"/>
          </w:tcPr>
          <w:p>
            <w:pPr>
              <w:spacing w:after="0"/>
              <w:rPr>
                <w:sz w:val="18"/>
                <w:szCs w:val="18"/>
                <w:color w:val="auto"/>
              </w:rPr>
            </w:pPr>
          </w:p>
        </w:tc>
      </w:tr>
      <w:tr>
        <w:trPr>
          <w:trHeight w:val="210"/>
        </w:trPr>
        <w:tc>
          <w:tcPr>
            <w:tcW w:w="46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Loans to group companies </w:t>
            </w:r>
            <w:r>
              <w:rPr>
                <w:rFonts w:ascii="Times New Roman" w:cs="Times New Roman" w:eastAsia="Times New Roman" w:hAnsi="Times New Roman"/>
                <w:sz w:val="24"/>
                <w:szCs w:val="24"/>
                <w:color w:val="auto"/>
                <w:vertAlign w:val="superscript"/>
              </w:rPr>
              <w:t>(4)</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 of loans from group companies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(19,285)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 with external parties</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(3,150)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14,904</w:t>
            </w:r>
          </w:p>
        </w:tc>
        <w:tc>
          <w:tcPr>
            <w:tcW w:w="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(21,985)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(23,898)</w:t>
            </w:r>
          </w:p>
        </w:tc>
        <w:tc>
          <w:tcPr>
            <w:tcW w:w="20" w:type="dxa"/>
            <w:vAlign w:val="bottom"/>
          </w:tcPr>
          <w:p>
            <w:pPr>
              <w:spacing w:after="0"/>
              <w:rPr>
                <w:sz w:val="18"/>
                <w:szCs w:val="18"/>
                <w:color w:val="auto"/>
              </w:rPr>
            </w:pPr>
          </w:p>
        </w:tc>
      </w:tr>
      <w:tr>
        <w:trPr>
          <w:trHeight w:val="209"/>
        </w:trPr>
        <w:tc>
          <w:tcPr>
            <w:tcW w:w="46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Loans from group companies </w:t>
            </w:r>
            <w:r>
              <w:rPr>
                <w:rFonts w:ascii="Times New Roman" w:cs="Times New Roman" w:eastAsia="Times New Roman" w:hAnsi="Times New Roman"/>
                <w:sz w:val="24"/>
                <w:szCs w:val="24"/>
                <w:color w:val="auto"/>
                <w:vertAlign w:val="superscript"/>
              </w:rPr>
              <w:t>(4)</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 of loans to group companies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(19,285)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with external parties</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financing activities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(27,685)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15,510</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(13,524)</w:t>
            </w:r>
          </w:p>
        </w:tc>
        <w:tc>
          <w:tcPr>
            <w:tcW w:w="20" w:type="dxa"/>
            <w:vAlign w:val="bottom"/>
          </w:tcPr>
          <w:p>
            <w:pPr>
              <w:spacing w:after="0"/>
              <w:rPr>
                <w:sz w:val="18"/>
                <w:szCs w:val="18"/>
                <w:color w:val="auto"/>
              </w:rPr>
            </w:pP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1,236</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(11,706)</w:t>
            </w:r>
          </w:p>
        </w:tc>
        <w:tc>
          <w:tcPr>
            <w:tcW w:w="2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32,004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79,482</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184,808</w:t>
            </w:r>
          </w:p>
        </w:tc>
        <w:tc>
          <w:tcPr>
            <w:tcW w:w="20" w:type="dxa"/>
            <w:vAlign w:val="bottom"/>
          </w:tcPr>
          <w:p>
            <w:pPr>
              <w:spacing w:after="0"/>
              <w:rPr>
                <w:sz w:val="18"/>
                <w:szCs w:val="18"/>
                <w:color w:val="auto"/>
              </w:rPr>
            </w:pPr>
          </w:p>
        </w:tc>
      </w:tr>
      <w:tr>
        <w:trPr>
          <w:trHeight w:val="198"/>
        </w:trPr>
        <w:tc>
          <w:tcPr>
            <w:tcW w:w="4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rates  on  cash,  cash  equivalents  and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 w:type="dxa"/>
            <w:vAlign w:val="bottom"/>
          </w:tcPr>
          <w:p>
            <w:pPr>
              <w:spacing w:after="0"/>
              <w:rPr>
                <w:sz w:val="20"/>
                <w:szCs w:val="20"/>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31,919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14,762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86,835</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170,802</w:t>
            </w:r>
          </w:p>
        </w:tc>
        <w:tc>
          <w:tcPr>
            <w:tcW w:w="2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16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Inter-company sales of goods and services were eliminated at the consolidation level.</w:t>
      </w:r>
    </w:p>
    <w:p>
      <w:pPr>
        <w:spacing w:after="0" w:line="15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the investments in subsidiaries and the VIEs and their subsidiaries by group companies.</w:t>
      </w:r>
    </w:p>
    <w:p>
      <w:pPr>
        <w:spacing w:after="0" w:line="16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inter-company balances among Xunlei Limited, other subsidiaries, our WFOEs, the VIEs and their subsidiaries.</w:t>
      </w:r>
    </w:p>
    <w:p>
      <w:pPr>
        <w:spacing w:after="0" w:line="167"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inter-company operating, investing and financing activities among Xunlei Limited, other subsidiaries, our WFOE, the VIEs and their subsidiaries.</w:t>
      </w:r>
    </w:p>
    <w:p>
      <w:pPr>
        <w:spacing w:after="0" w:line="83" w:lineRule="exact"/>
        <w:rPr>
          <w:rFonts w:ascii="Times New Roman" w:cs="Times New Roman" w:eastAsia="Times New Roman" w:hAnsi="Times New Roman"/>
          <w:sz w:val="16"/>
          <w:szCs w:val="16"/>
          <w:color w:val="auto"/>
        </w:rPr>
      </w:pPr>
    </w:p>
    <w:p>
      <w:pPr>
        <w:jc w:val="both"/>
        <w:ind w:left="340" w:hanging="332"/>
        <w:spacing w:after="0" w:line="281"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2024 and 2025, the VIEs incurred US$12.9 million, US$12.7 million and US$11.6 million, in fees related to technical services provided by our WFOEs and our WFOEs concurrently recognized the same amounts as revenues, respectively. Unsettled balance of such transactions was US$30.6 million and US$14.5 million as of December 31, 2024 and 2025, respectively.</w:t>
      </w:r>
    </w:p>
    <w:p>
      <w:pPr>
        <w:sectPr>
          <w:pgSz w:w="11900" w:h="16838" w:orient="portrait"/>
          <w:cols w:equalWidth="0" w:num="1">
            <w:col w:w="9920"/>
          </w:cols>
          <w:pgMar w:left="980" w:top="513" w:right="99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6820" w:hanging="652"/>
        <w:spacing w:after="0" w:line="500" w:lineRule="auto"/>
        <w:tabs>
          <w:tab w:leader="none" w:pos="62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040" w:hanging="652"/>
        <w:spacing w:after="0" w:line="500" w:lineRule="auto"/>
        <w:tabs>
          <w:tab w:leader="none" w:pos="63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ADSs involves significant risks. You should carefully consider all of the information in this annual report,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and uncertainties relating to our business include, but are not limited to, the following:</w:t>
      </w:r>
    </w:p>
    <w:p>
      <w:pPr>
        <w:spacing w:after="0" w:line="185" w:lineRule="exact"/>
        <w:rPr>
          <w:sz w:val="20"/>
          <w:szCs w:val="20"/>
          <w:color w:val="auto"/>
        </w:rPr>
      </w:pPr>
    </w:p>
    <w:p>
      <w:pPr>
        <w:ind w:left="1000" w:right="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been undergoing significant innovation and transition, and our historical growth rate may not be indicative of our future performance and our new business may not be successful;</w:t>
      </w:r>
    </w:p>
    <w:p>
      <w:pPr>
        <w:spacing w:after="0" w:line="13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governing the operation of blockchain products and services in China are evolving and subject to changes. If we fail to comply with existing and future applicable laws, regulations or requirements of local regulatory authorities, our business, financial condition and results of operations may be materially and adversely affected;</w:t>
      </w:r>
    </w:p>
    <w:p>
      <w:pPr>
        <w:spacing w:after="0" w:line="13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retain our large user base, convert our users into subscribers of our premium services or maintain our existing subscribers;</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protection mechanism we have implemented may not always be effective or sufficient. Certain services we provide to our users have exposed us to and may continue to expose us to copyright infringement claims and other related claims. Any damage awards, injunctive relief and/or court orders could materially and adversely affect our existing business model, divert our management’s attention and adversely impact our business and reputation;</w:t>
      </w:r>
    </w:p>
    <w:p>
      <w:pPr>
        <w:spacing w:after="0" w:line="15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risks in connection with our international operations;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keep up with the technological development in the internet industry and users’ changing demand, our business, financial condition and results of operations may be materially and adversely affected;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or lawsuits outside of China, which could increase our risk of direct or indirect liabilities for our existing or future service offerings;</w:t>
      </w:r>
    </w:p>
    <w:p>
      <w:pPr>
        <w:spacing w:after="0" w:line="134"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unauthorized use of our intellectual property or disclosure of our trade secrets and other proprietary information, which could reduce demand for our services and have material and adverse impacts on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model for our live-streaming business may not remain effective and we cannot guarantee that our future monetization strategies will be successfully implemented or generate sustainable revenues and profit;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attractive content for our live-streaming services or to attract and retain talented and popular broadcasters, which may materially adversely affect the operation of our live-streaming services and its results of operations;</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liable for information or content displayed on, retrieved from or linked to our platform, or distributed to our users, if such content is deemed to violate laws or regulations in China and other jurisdictions, or for improper or fraudulent activities conducted on our platform, and authorities in China and the relevant jurisdictions may impose legal sanctions on us and our reputation may be damaged; and</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interruptions and downtime, including those caused by cyber-attacks or security breaches, can result in user dissatisfaction, adverse publicity or leakage of confidential information of our users and customers, and our business, financial condition, results of operations may be materially and adversely affected; and</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PRC and international laws and regulations regarding data privacy and cybersecurity. Failure to comply with these laws and regulations would result in claims, penalties, damages to our reputation and brand or otherwise harm our business.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an “investment company” under the Investment Company Act of 1940, it could adversely affect the price of the ADSs and could materially and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and uncertainties relating to our corporate structure include, without limitation, the following:</w:t>
      </w:r>
    </w:p>
    <w:p>
      <w:pPr>
        <w:spacing w:after="0" w:line="225" w:lineRule="exact"/>
        <w:rPr>
          <w:sz w:val="20"/>
          <w:szCs w:val="20"/>
          <w:color w:val="auto"/>
        </w:rPr>
      </w:pPr>
    </w:p>
    <w:p>
      <w:pPr>
        <w:jc w:val="both"/>
        <w:ind w:left="1000" w:hanging="317"/>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variable interest entities in China and their shareholders for our operations, which may not be as effective as ownership in providing operational control over the variable interest entities and their subsidiaries; and</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variable interest entities or their shareholders to perform their obligations under our contractual arrangements with them may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also subject to risks and uncertainties relating to doing business in China in general, including, but are not limited to, the following:</w:t>
      </w:r>
    </w:p>
    <w:p>
      <w:pPr>
        <w:spacing w:after="0" w:line="162" w:lineRule="exact"/>
        <w:rPr>
          <w:sz w:val="20"/>
          <w:szCs w:val="20"/>
          <w:color w:val="auto"/>
        </w:rPr>
      </w:pPr>
    </w:p>
    <w:p>
      <w:pPr>
        <w:jc w:val="both"/>
        <w:ind w:left="1000" w:hanging="317"/>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 See “Item 3. Key Information—D. Risk Factors—Risks Related to Doing Business in China —Changes in China’s economic, political or social conditions or government policies could have a material adverse effect on our business and operations”;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and censorship of information disseminated over the internet in China have adversely affected our business and may continue to adversely affect our business, and we may be liable for the digital media content on our platform. See “Item 3. Key Information—D. Risk Factors—Risks Related to Doing Business in China—Regulation and censorship of information disseminated over the internet in China have adversely affected our business and may continue to adversely affect our business, and we may be liable for the digital media content on our platform”;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20" w:hanging="317"/>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and discretion over our business operation could result in a material adverse change in our operations and the value of our ADSs. See “Item 3. Key Information—D. Risk Factors—Risks Related to Doing Business in China—The PRC government’s oversight and discretion over our business operation could result in a material adverse change in our operations and the value of our ADSs”;</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could adversely affect us. See “Item 3. Key Information—D. Risk Factors—Risks Related to Doing Business in China—Uncertainties with respect to the PRC legal system could adversely affect us”;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106"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See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Related to Our ADSs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general risks related to the ADSs, including, without limitation, the following:</w:t>
      </w:r>
    </w:p>
    <w:p>
      <w:pPr>
        <w:spacing w:after="0" w:line="81"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ADSs may be volatile;</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transfer of your ADSs;</w:t>
      </w:r>
    </w:p>
    <w:p>
      <w:pPr>
        <w:spacing w:after="0" w:line="15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your right to direct how the common shares which are represented by your ADSs are voted; and</w:t>
      </w:r>
    </w:p>
    <w:p>
      <w:pPr>
        <w:spacing w:after="0" w:line="80"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the U.S. federal courts may be limited because we are incorporated under Cayman Islands law, we conduct our operations primarily in China and substantially all of our directors and officers reside outside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has been undergoing significant innovation and transition, and our historical growth rate may not be indicative of our future performance and our new business may not be successful.</w:t>
      </w:r>
    </w:p>
    <w:p>
      <w:pPr>
        <w:spacing w:after="0" w:line="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launched our core product, Xunlei Accelerator, in 2004 and introduced subscription services in 2009 to enable users to quickly access and consume digital media content. Coupled with our core product and services, we also provide a range of internet value-added services. Our cloud acceleration product offered by our subscription services has maintained nationwide popularity over the past few years. Our business model has been undergoing significant innovation and continued transition. For example, we launched and then sold cloud computing products and services in recent years. We had also operated domestic video and audio live-streaming businesses and later shut them down and started overseas audio live-streaming business. Changes in business model and expansion into new services involve new risks and challenges. If we fail to explore these new technologies and apply them innovatively to keep our products and services competitive, we may experience immediate decline in the growth of our businesses. In addition, the regulatory environment surrounding these businesses may also be evolving and any unfavorable developments may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Apart from Xunlei Accelerator, we launched our video live-streaming business in 2016 and audio live-streaming business in 2018. In 2021, we further diversified our live-streaming products portfolio by rolling out Hiya in April 2021, an audio live-streaming product for overseas markets primarily in the Middle East, North Africa and Southeast Asia, and Hiya Voice in September 2021, another audio live-streaming product mainly focusing on the China market. Users may chat and interact with broadcasters, and they can purchase virtual gifts from the platform to reward the broadcasters they like. In 2023, we streamlined our audio live-streaming business by terminating the operations of Hiya Voice in China to adapt to the evolving market conditions. In 2024, we further terminated our video live-streaming services offered on Xunlei Live in China. As a result, we have ceased providing both audio and video live-streaming services in China, while we continue to provide audio live-streaming services in overseas markets. In May 2025, we acquired Hupu, which is a leading sports chat-room platform with millions of sports enthusiasts.</w:t>
      </w:r>
    </w:p>
    <w:p>
      <w:pPr>
        <w:spacing w:after="0" w:line="1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continue to improve our existing products and services and roll out new offerings to capitalize on growth opportunities, our efforts may not be successful. For instance, in November 2024, we established a global technology center in Hong Kong, which serves as an integrated platform for technological research and development, innovation incubation, and international collaboration. The center may encompass a technology open platform, an AI laboratory, and an investment incubator, among other components. This initiative aims to facilitate the dissemination of cutting-edge technologies for global businesses while providing decentralized solutions for various industries. We also announced to set up an AI research center in Hangzhou, Zhejiang Province. There can be no assurance that we will be successful in these endeavors, if at all. In addition, the laws and regulations concerning these technologies in China and around the globe are evolving and subject to changes. If we fail to comply with existing and future applicable laws, regulations or requirements for our future products and services, our business, financial condition and results of operations may be materially and adversely affected. See also “—We may not be able to retain our large user base, convert our users into subscribers of our premium services or maintain our existing subscribers” and “—Risks Related to Doing Business in China—Regulation and censorship of information disseminated over the internet in China have adversely affected our business and may continue to adversely affect our business, and we may be liable for the digital media content on our platform.”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may from time to time in the future divest certain portion of our business or undergo strategic business reorganization. Such potential divestment and reorganization of our business may create uncertainty and disrupt our operations, adversely affecting our relationships with employees, customers, suppliers, and other stakeholders. Successfully executing these processes involves complex procedures that require significant management attention and resources. There can be no assurance of timely or successful completion. Such potential divestment and reorganization of our business may incur significant financial costs, such as increased costs or reduced revenues, and the anticipated benefits, such as cost savings or improved operational efficiency, may not be realized as expected. These activities are typically subject to various regulatory approvals and legal requirements, and failure to obtain necessary approvals or comply with legal requirements could delay or prevent completion, potentially resulting in legal liabilities or penalties. Even after completion, long-term uncertainties regarding the stability and success of our business may persist, posing ongoing risks to our financial health and operational stability. Specifically, such potential divestment and reorganization may hinder our ability to pursue growth opportunities and maintain competitive advantage. These risks could disrupt our ability to manage our business, which may materially and adversely affect our business operations, results of operations, and financial position.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abovementioned factors, our historical growth rate may not be indicative of our future performance and our new business initiatives may not be successful. As a result, we cannot assure you that we will grow at the same rate as we did in the past, if at all.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our large user base, convert our users into subscribers of our premium services or maintain our existing subscribers.</w:t>
      </w:r>
    </w:p>
    <w:p>
      <w:pPr>
        <w:spacing w:after="0" w:line="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Xunlei Accelerator had approximately 50.5 million monthly unique visitors in December 2025 according to our internal records. If we are unable to consistently provide our users with quality services and experience, if users do not perceive our service offerings to be of value, or if we introduce new or adjust existing features or change the mix of digital media content in a manner that is not favorably received by our users, we may not be able to retain our existing user base.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fluctuations in the number of subscribers in the past partly due to the intensified scrutiny over internet content from the Chinese government, and may continue to experience fluctuations in the future. We put in more efforts to monitor the content on our platform in response to government campaigns against inappropriate internet content and experienced a decline in the number of subscribers from 2014 to 2020. However, we have managed to realize a growth in the number of subscribers since 2020 primarily as a result of our renewed efforts on and continuous optimization and development of the product. Specifically, we recorded a record high of the number of subscribers in December 2025. Nonetheless, such favorable trends may not sustain, and any increase in the number of subscribers may not necessarily lead to a corresponding increase in revenue. Similar government action or other forces may make it challenging for us to retain our user base, or may contribute to a decline in our user base, in the future. See “—Risks Related to Doing Business in China—Regulation and censorship of information disseminated over the internet in China have adversely affected our business and may continue to adversely affect our business, and we may be liable for the digital media content on our platform.”</w:t>
      </w:r>
    </w:p>
    <w:p>
      <w:pPr>
        <w:spacing w:after="0" w:line="1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long term, even without taking into account the abovementioned restrictions, we cannot assure you that we would be able to retain our large user or subscriber base. For example, our efforts to provide greater incentives for our users to subscribe, including marketing activities to highlight the value of differentiated subscriber-only services, such as Green Channel, may not continue to succeed. Our subscribers may stop their subscriptions or other spending on our products or services because we no longer serve their needs or if we are unable to offer a satisfying user experience or successfully compete with current and new competitors in both retaining our existing subscribers and attracting new subscribers, which would adversely impact our business, results of operations and prospects. In addition, the development of technologies may also render our acceleration technology obsolete.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Xunlei brand is of significant importance to the success of our business. A well-recognized brand is critical to increasing our user base and, in turn, enhancing our attractiveness to advertisers, subscribers and paying users. If we fail to sustain or improve the strength of our brand, we may subsequently experience difficulty in maintaining market share. We have developed our reputation and established a leading position by providing our users with superior acceleration services. We will continue to conduct various marketing and brand promotion activities. We cannot assure you, however, that these activities will be successful and achieve the brand promotion effects we expect. In addition, any negative publicity in relation to our services or our marketing or promotion practices, regardless of its veracity, could harm our brand image and, in turn, result in a reduced number of users and advertisers. Historically, there was negative publicity about our company, our products and services and certain key members of our management team, which adversely affected our brand, public image and reputation. If we fail to maintain and enhance our brand, or if we incur excessive expenses in this effort, our business, financial condition and results of operations may be materially and adversely affected.</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protection mechanism we have implemented may not always be effective or sufficient. Certain services we provide to our users have exposed us to and may continue to expose us to copyright infringement claims and other related claims. Any damage awards, injunctive relief and/or court orders could materially and adversely affect our existing business model, divert our management’s attention and adversely impact our business and reputation.</w:t>
      </w:r>
    </w:p>
    <w:p>
      <w:pPr>
        <w:spacing w:after="0" w:line="99"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Our success depends, in large part, on our ability to operate our business without infringing, misappropriating or otherwise violating third-party rights, including third-party intellectual property rights. Internet, technology and media companies are frequently involved in litigations based on allegations of infringement of intellectual property rights, unfair competition, invasion of privacy, defamation and other violations of third-party rights. In the ordinary course of our business, we receive, from time to time, written notices from third parties claiming that certain content and games on our network, websites, products or services infringe their copyrights or the copyrights of third parties. These notices may contain threats to take legal actions against us or requests for cessation of distribution, marketing or displaying such content or games on our network, websites, products or services. As of the date of this annual report, we are involved in four pending copyright lawsuits in China. Almost all of these claims alleged that content on our network, products or services constitute infringements of the plaintiffs’ copyrights. For example, in November 2025, Hupu was sued for alleged unauthorized dissemination of NBA game content and unauthorized use of the “NBA” trademark, with claimed damages in an aggregate amount of approximately RMB86.5 million (US$12.1 million). The case is currently pending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instance substantive proceedings. The total amount of damages claimed in these pending copyright lawsuits is approximately RMB87.2 million (US$12.2 million). These pending lawsuits, claims alleging copyright infringement or other claims arising from the content accessible through our distributed computing network, or on our websites or through our other services, with or without merit, may lead to damage awards and/or court orders, diversion of our management’s attention and financial resources and negative publicity affecting our brand and reputation, and therefore may adversely affect our results of operations and business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provide subscribers with limited space to temporarily store content downloaded on our servers for optimal acceleration performance. Subscribers may also request our cloud servers to transmit a file on their behalf and download it to their local storage. We also provide users with cloud storage services through Xunlei Cloud Drive, which allows users to download and upload documents, images, audios, videos and other files to cloud servers at an accelerated speed. See “Item 4. Information on the Company—B. Business Overview—Our Platform.” Although we have made commercially reasonable efforts to request users to comply with applicable intellectual property laws, we cannot ensure that all of our users have the rights to use, transmit or share such content or if such content do not infringe third-party intellectual property rights. We have implemented internal procedures to meet the requirements under laws and regulations of the PRC and certain other jurisdictions to monitor and review content available on our platform, and remove content promptly once we receive notice of infringement from the legitimate right holder. See also “Item 4. Information on the Company—B. Business Overview—Intellectual Property—Digital media data monitoring and copyright protection” for more details. However, due to the significant amount of digital media content accessible through our acceleration services and other value-added services, we cannot guarantee the effectiveness of our intellectual property protection mechanisms and measures. We may be liable for temporarily storing or transmitting content or creating links representing content on behalf of our subscribers if such content infringes third-party intellectual property rights, and any such potential legal liabilities could materially and adversely affect our business.</w:t>
      </w:r>
    </w:p>
    <w:p>
      <w:pPr>
        <w:spacing w:after="0" w:line="1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cannot assure you that our technologies, business methods and services will be free from claims of patent infringements, and that patent holders would not seek to enforce such patents against us in China, the United States or any other jurisdictions. We are not currently involved in any patent infringement case in China. However, we were involved in a patent infringement case in the past and we cannot assure you that we will not be involved in similar cases in the future. In addition, our analysis may fail to identify all relevant patents and patent applications. For example, there may be currently pending applications, unknown to us, that may later result in issued patents that are infringed by our products, services or other aspects of our business. There could also be existing patents of which we are not aware that our products may inadvertently infringe. Third parties may attempt to enforce such patents against us. Further, the application and interpretation of PRC patent laws and the procedures and standards for granting patents in China are still evolving, and we cannot assure you that PRC courts or regulatory authorities would agree with our analysis. Any patent infringement claims, regardless of their merits, could be time-consuming and costly to us. If we were found to infringe third-party patents and were not able to adopt non-infringing technologies, our ability to operate our business may be severely limited, and our results of operations could be materially and adversely affected.</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validity, enforceability and scope of protection of intellectual property in internet-related industries in different jurisdictions are uncertain and still evolving. As we face increasing competition and as litigation becomes more common in resolving commercial disputes in China and overseas countries, we face a higher risk of intellectual property infringement claims. Pursuant to a judicial interpretation on infringement of the right of internet dissemination promulgated by the Supreme People’s Court of China in December 2012, which was revised in December 2020 and became effective on January 1, 2021, service providers are required to remove not only links or content specifically mentioned in the notices of infringement from rights holders, but also links or content they “should have known” to contain infringing content. The interpretation further provides that where an internet service provider has directly obtained economic benefits from any content made available by an internet user, it has a higher duty of care with respect to internet users’ infringement of third-party copyrights. This interpretation may subject internet service providers, including us, to significant administrative burdens and litigation risks. See “Item 4. Information on the Company—B. Business Overview—Regulation—PRC regulation on intellectual property rights.” Interested parties may lobby for more robust intellectual property protection in jurisdictions in which we conduct business or may conduct business, and intellectual property laws in China and other such jurisdictions where we have business operations, such as the Middle East and Southeast Asia, may become less favorable to our business. Any of such changes could materially affect our users’ experience and in turn have a material adverse impact on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risks in connection with our international operations.</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been exploring opportunities in overseas markets. For example, in 2021, we launched Hiya, an audio live-streaming platform targeting overseas markets. Users of Hiya are mainly from countries in the Middle East, Southeast Asia, South Asia and North Africa. Operating business internationally may expose us to additional risks and uncertainties. As we have very limited experience in operating our business in overseas markets, we may be unable to attract a sufficient number of users, fail to anticipate competitive conditions or face difficulties in operating effectively or adapting our business models in overseas markets. Our international operations and expansion efforts have resulted in and may continue to result in increased costs and are subject to a variety of risks, including difficulties in obtaining licenses, approvals or other applicable government authorizations, content controls imposed by local authorities, uncertain enforcement of our intellectual property rights, potential claims for intellectual property infringements and the complexity of compliance with foreign laws and regulations. Compliance with applicable laws, regulations and rules related to our business in multiple jurisdictions, including those related to live-streaming services, content, data privacy, virtual items, anti-corruption, anti-money laundering and protection of minors, results in costs and potential risks in doing business in these jurisdictions, including the Middle East, Southeast Asia, South Asia and North Africa. In some cases, compliance with the laws and regulations in one jurisdiction may result in a violation of the laws and regulations of another jurisdiction. We have users across multiple jurisdictions, each of which is subject to different legal systems and regulatory requirements. As a result, we may be required to obtain relevant licenses or otherwise comply with the laws and regulations of a particular jurisdiction solely because users located there access the services of our overseas products, even where our operating entities are neither incorporated in, nor maintain a physical presence or local operations in, that jurisdiction. As we expand our business overseas, we cannot assure you that we will be able to fully comply with the legal requirements of each jurisdiction and successfully adapt our business model to local market conditions.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overseas operations could also be materially and adversely affected by heightened tensions in international relations. In recent years, there have been changes in international trade policies and rising political tensions, particularly between the U.S. and China. See “—The current tensions in international trade and rising international political tensions may adversely affect our business, financial condition, and results of operations.”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exposed to credit and collectability risk on our trade receivables in certain international markets. There can be no assurance that we can effectively limit our credit risk and avoid losses. In addition, political instability may also expose us to additional risks and uncertainties. If any of these economic or political risks materializes and we fail to anticipate and effectively manage them, we may suffer a material adverse effect on our business and results of operations.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in recent years and these tensions may continue to escalate in the future. These tensions have resulted in changes in international trade policies and, if they further escalate, may result in additional barriers to trade. For example, the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international political tensions have escalated and continue to be subject to uncertainties with respect to a wide range of issues. The U.S. government has also adopted measures aiming to prohibit or restrict U.S. investment in China-associated companies that operate in certain industries. Specifically, the U.S.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In addition, on December 18, 2025, the Comprehensive Outbound Investment National Security Act of 2025, or the COINS Act, was signed into law. The COINS Act will keep the core of the Outbound Investment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Outbound Investment Rule will remain in effect. The content of the implementation regulations remains uncertain. If our ability to raise such capital is significantly and negatively affected, it could be detrimental to our business, financial condition and prospects, and our ADSs may significantly decline in value.</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which would materially and adversely affect the global economic conditions and the stability of global financial markets. These developments may also lead to increased compliance costs, operational disruptions, and potential constraints on our access to capital markets. The possibility of the U.S. government delisting China-associated companies from U.S. stock exchanges, as recently reported in the media, creates uncertainty regarding our ability to maintain our Nasdaq listing. Any further escalation of international tensions may have a negative impact on the general, economic, political, and social conditions of the countries where we operate and, in turn, adversely impact our business, financial condition, results of operations, and the price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up with the technological development in the internet industry and users’ changing demand, our business, financial condition and results of operations may be materially and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internet industry is rapidly evolving and subject to continual technological changes. As the internet infrastructure continues to develop, the internet may become more easily accessible through alternative technological innovations in the future, which may make our existing products and services less attractive to our users. In addition, user demand for internet content may also shift over time. Currently, internet users appear to have significant demand for multimedia acceleration, online games and online streaming services, and we expect such demand to continue. However, we cannot assure you that the behavior of internet users will not change in the future. If we fail to upgrade our services in response to changes in user demand in an effective and timely manner, the number of our users and advertisers may decrease.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changes in technologies and user demand may require substantial capital expenditures in product development and infrastructure. To further expand our user base and offer our users a wider range of access points, we are expanding our business to mobile devices in part through potentially pre-installed acceleration products in mobile phones. In addition, we are continually developing and upgrading products and services, and seeking strategic cooperation with hardware manufacturers such as smartphone makers, all of which may require us to devote significant resources. However, if we are not able to perfect our new technologies or to achieve the intended results, if our innovations cannot respond to the needs of our users, or if our users are not attracted to our upgraded or new products and services, we may not be able to maintain or expand our user base, and our business, results of operations and prospects may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or lawsuits outside of China, which could increase our risk of direct or indirect liabilities for our existing or future service offerings.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claims or lawsuits outside of China, such as the United States, the Middle East and Southeast Asia, by virtue of our listing in the United States, the ownership of our ADSs by investors, doing business in overseas markets, the extraterritorial application of foreign law by foreign courts or for other reasons. We have attracted, and expect to continue to attract, attention from intellectual property owners outside of China. With the expansion of our overseas business, users in different jurisdictions such as the Middle East and Southeast Asia are able to access our products and services. If we are determined to be bound by the copyright laws and regulations in jurisdictions outside of China by virtue of allowing users in those jurisdictions to access our products and services, we would be subject to heightened risks of intellectual property infringement liabilities. If a claim of infringement brought against us in the United States or other jurisdictions is successful, we may be required to (i) pay substantial statutory or other damages and fines, (ii) remove relevant content from our website, (iii) discontinue products or services, (iv) disable access through our service to certain sites or content; (v) terminate users, and/or (vi) seek royalty or license agreements that may not be available on commercially reasonable terms, or at all.</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a publicly listed company, we may be exposed to increased risk of litigation. For example, we were involved in shareholder class action lawsuits in the United States. We may be involved in more class action lawsuits in the future. While these claims may be without merit, such kinds of lawsuits could divert a significant amount of our management’s attention and other resources from our business and operations, which could harm our results of operations and require us to incur significant expenses to defend the lawsuits.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unauthorized use of our intellectual property or disclosure of our trade secrets and other proprietary information, which could reduce demand for our services and have material and adverse impacts on our business, financial condition and results of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patents, trademarks, trade secrets, copyrights and other intellectual property rights are important assets for us. Events that are outside of our control may pose a threat to our intellectual property rights. For example, effective intellectual property protection may not be available in China and some other jurisdictions in which our services are distributed or made available through the internet. Also, the efforts we have made to protect our proprietary rights may not be sufficient or effective. Therefore, legal proceedings to enforce our intellectual property in these jurisdictions may progress slowly, during which time infringement may continue largely unimpeded. These factors may make it more challenging for us to enforce our intellectual property rights against infringement. The infringement of our intellectual property rights, particularly in these jurisdictions, may materially harm our business and competitiveness in these markets and elsewhere by reducing our sales, adversely affecting our results of operations and diluting our brand or reputation. Any significant impairment of our intellectual property rights could harm our business or our competitiveness. Also, protecting our intellectual property rights is costly and time-consuming. Any increase in the unauthorized use of our intellectual property could make it more expensive to conduct our business and harm our results of operations.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seek to obtain patent protection for our innovations. However, it is possible that patent protection may not be available for some of these innovations. In addition, given the costs of obtaining patent protection, we may choose not to protect certain innovations that later turn out to be important. Furthermore, there is always the possibility that, despite our efforts, the scope of the protection gained will be insufficient or that an issued patent may be deemed invalid or unenforceable.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seek to maintain certain intellectual property as trade secrets. We require our employees, consultants, advisors and collaborators to enter into confidentiality agreements in order to protect our trade secrets and other proprietary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our trade secrets and proprietary information, in which case we cannot assert such trade secret rights against such parties. Any unauthorized disclosure or independent discovery of our trade secrets would deprive us of the associated competitive advantages. Costly and time-consuming litigations could be necessary to enforce and determine the scope of our proprietary rights, and failure to obtain or maintain trade secret protection could adversely affect our competitive position.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revenue model for our live-streaming business may not remain effective and we cannot guarantee that our future monetization strategies will be successfully implemented or generate sustainable revenues and profit.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provide live-streaming services in overseas markets mainly through Hiya and WeFun mobile app. Live-streaming services contributed a significant portion of our total revenues in recent years. In 2025, revenue from live-streaming services contributed approximately 25.0% of our total revenues. The live-streaming industry is highly competitive and there are several well-established and successful players in this market. We may not be able to compete effectively with our competitors and realize intended growth of our live-streaming business. We are not sure whether our services will be accepted by the market and generate projected revenues. The user demand may also change, decrease substantially or dissipate, and we may fail to anticipate and serve user demands effectively and timely. We factor in industry standards and expected user demand in determining how to optimize virtual item merchandise effectively. However, if we fail to properly manage the supply and timing of our virtual items and their appropriate prices, our users may be less likely to purchase these virtual items from us. In addition, if users’ spending habits change and they choose to only access our content for free without additional purchases, we may not be able to continue to successfully implement the virtual items-based revenue model for our live-streaming business, in which case we may have to provide other value-added services or products to monetize our user base. We cannot guarantee that our attempts to monetize our user base and products and services will continue to be successful, profitable or widely accepted, and therefore the future revenue and income potential of our business may be difficult to evaluate.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focused on growing our audio content library to align with users’ evolving interests. We actively monitor viewership trends and community feedback to identify popular audio content and encourage our broadcasters to create engaging topics. However, if we fail to continue to diversify and enhance our audio content offerings, or maintain the quality of our audio content, we may experience decreased viewership and user engagement, which may materially and adversely affect our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success of our audio live-streaming services heavily relies on our broadcasters, who are instrumental in producing high-quality and engaging content. We have implemented a comprehensive incentive mechanism to motivate broadcasters to deliver content that appeals to our audience. Additionally, we have established cooperation agreements with popular broadcasters. Nonetheless, if broadcasters or talent agencies breach these agreements, choose not to renew them, or if we fail to attract new talented broadcasters, our platform’s popularity may decline, which could materially and adversely affect our results of operations and financial condition.</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for information or content displayed on, retrieved from or linked to our platform, or distributed to our users, if such content is deemed to violate laws or regulations in China and other jurisdictions, or for improper or fraudulent activities conducted on our platform, and authorities in China and the relevant jurisdictions may impose legal sanctions on us and our reputation may be damaged.</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live-streaming services provided in overseas market enable users to interact and chat with broadcasters and other users and engage in various other online activities, for which we do not require our broadcasters to register their real names. Therefore, broadcasters and/or users may engage in illegal, obscene or incendiary conversations or activities, including publishing inappropriate or illegal content that may be deemed unlawful under laws and regulations of the relevant jurisdictions on our platform or in the chat-rooms created through our apps.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 May 2025, we closed the acquisition of Shanghai Kuanghui Network Technology Co., Ltd., or Shanghai Kuanghui, which operated Hupu, a leading sports media and data platform in China, for a total cash consideration of RMB500 million. Hupu is a community platform, and accordingly, we have been responsible for the review and management of the content posted by users on it after the acquisition. Any failure to fulfill such responsibility could subject us to penalties, including fines, suspension of business and revocation of the relevant licenses. For example, in 2024, Shanghai Kuanghui was fined by the Shanghai Cyberspace Administration for failing to fully perform its responsibility in managing illegal content posted by users.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content on our platforms is deemed illegal, obscene or incendiary, or if appropriate licenses and third-party consents have not been obtained, claims may also be brought against us for defamation, libel, negligence, copyright, patent or trademark infringement, other unlawful activities or other theories and claims based on the nature and content of the materials that are provided, uploaded, shared, published or otherwise accessed by users or us through our platform. Defending any such actions could be costly and involve significant amounts of time and attention of our management and other resources. In addition, government authorities of the PRC or other jurisdictions may impose sanctions on us, including, in serious cases, suspending or revoking the licenses necessary to operate our platform if they find that we have not adequately managed the content on our platform. Any such claims or sanctions against us could materially and adversely affect our business and our brand.</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failure, interruptions and downtime, including those caused by cyber-attacks or security breaches, can result in user dissatisfaction, adverse publicity or leakage of confidential information of our users and customers, and our business, financial condition, results of operations may be materially and adversely affected.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rely on our networks and servers, which can suffer system failures, interruptions and downtime. Despite the implementation of our security measures, our network systems are vulnerable to damage from computer viruses, fires, floods, earthquakes, power losses, telecommunication failures, computer hacking, security breach and similar events, which may result in interruptions to the services we provide, degrade of user experience, disclosure of our data or user data, such as personal information, names, accounts, user IDs and passwords, and payment or transaction related information, or cause users to lose confidence in our products and services. Our efforts to protect our data and user data may also be unsuccessful due to software bugs or other technical malfunctions, employee error or malfeasance, government surveillance, or other factors.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satisfactory performance, stability, security and availability of our websites and our network infrastructure are critical to our reputation and our ability to attract and retain users and business partners. Our network and servers contain information regarding file index, advertising records, premium licensed digital media content and various other facets of the business to assist management and help ensure effective communication among various departments and offices of our company. Any failure to maintain the satisfactory performance, stability, security and availability of our network, website, servers or technology platform, whether such failure results from intentional cyber-attacks by hackers, from issues with our own technology and team or from other factors beyond our control, may cause significant harm to our reputation and impact our ability to attract and maintain users and business partners. We have implemented various measures to prevent such incidents from happening and put in place internal reporting procedures in dealing with such incidents. However, such preventive measures may not function in a way as we expect due to the evolution and sophistication of cyber-attacks, advances in technology, an increased level of sophistication and diversity of our products and services, an increased level of expertise of hackers, new discoveries in the field of cryptography or others, software bugs or other technical malfunctions, or other evolving threats.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server interruptions, power shutdowns, internet connection issues or other reasons, our users in certain locations may not be able to gain access to our network or our websites for a period of time lasting from several minutes to several hours from time to time. Any server interruptions, break-downs or system failures, including failures attributable to events within or outside our control that could result in a sustained shutdown of all or a material portion of our network or website, could reduce the attractiveness of our service offerings. In addition, any substantial increase in the volume of traffic on our network or website will require us to increase our investment in bandwidth, expand and further upgrade our technology platform. We do not maintain insurance policies covering losses relating to our network systems due to very limited available insurance products in the insurance market in China. As a result, any system failure, interruptions or network downtime for an extended period may have a material adverse impact on our revenues and results of operations.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cache or store electronic information in our day-to-day operations, including customer, employee and company data. The secure processing, maintenance and transmission of such information are critical to our operations and the regulatory environment surrounding the security, storage, use, processing, disclosure and privacy of information is demanding, evidenced by frequent imposition of new and changing requirements. We also store certain information with third parties. Our information systems and those of our third-party vendors are vulnerable to computer viruses or other malicious codes, unauthorized access attempts, cyber- or phishing-attacks, an increasing threat of continually evolving cybersecurity risks and external hazards, as well as improper or inadvertent staff behavior, all of which could expose confidential data systems and information to security breaches. Any such breach could compromise our networks, and the information stored therein could be accessed, publicly disclosed, lost or stolen. Such attacks could result in our intellectual property and other confidential information being lost or stolen, disruption of our operations and other negative consequences, such as increased costs for security measures or remediation costs. Any actual or perceived access, disclosure or other loss of information or any significant breakdown, intrusion, interruption, cyber-attack or corruption of customer, employee or company data or our failure to comply with federal, state, local and foreign privacy laws or contractual obligations with customers, vendors, payment processors and other third parties, could result in legal claims or proceedings, liability under laws or contracts that protect the privacy of personal information, regulatory penalties, disruption of our operations, and damage to our reputation, all of which could materially adversely affect our business, revenue and competitive position. While we will continue to implement additional protective measures to reduce the risk of and detect cyber-incidents, cyber-attacks are becoming more sophisticated and frequent, and the techniques used in such attacks change rapidly. Our protective measures may not protect us against attacks and such attacks could have a significant impact on our business and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PRC and international laws and regulations regarding data privacy and cybersecurity. Failure to comply with these laws and regulations would result in claims, penalties, damages to our reputation and brand or otherwise harm our business.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There has been a trend tightening the regulation of privacy and user data protection globally. We may become subject to new laws and regulations applicable to the solicitation, collection, processing or use of personal or consumer information that could affect how we store, process and share data with our customers, suppliers and third-party sellers. The PRC Civil Code, the PRC Cyber Security Law, the PRC Data Security Law, the PRC Personal Information Protection Law and the Administrative Measures for Network Data Security protect individual privacy and personal data security by requiring internet service providers to collect data in compliance with the laws and regulations and obtain the prior consents from internet users prior to the collection, use or disclosure of internet users’ personal data. In November 2019, the Ministry of Industry and Information Technology issued the Notice on Carrying Out the Special Rectification of App Infringement on Users’ Rights and Interests, according to which a number of mobile apps were removed from application stores as these apps infringed users’ rights and interests and rectifications cannot be completed within a specified period of time. In particular, the PRC Cyber Security Law, which took effect on June 1, 2017, requires network operators to strictly treat users’ personal information confidential and to establish and improve user information protection mechanism. In addition, the PRC Data Security Law, which took effect on September 1, 2021, establishes a classified and tiered system for data protection based on the level of importance of the data in terms of economic and social development, as well as the level of danger of the data for national security, public interests, or the legal interests of individuals and organizations in the event of data manipulation, destruction, leakage, illegal acquisition or illegal usage. The PRC Personal Information Protection Law, which took effect on November 1, 2021, requires that collection of personal information shall be limited to the minimum scope necessary for the processing purpose in order to avoid the excessive collection of personal information. See “Item 4. Information on the Company—B. Business Overview—Regulation—PRC regulation on internet privacy” and “Item 4. Information on the Company—B. Business Overview—Regulation—PRC regulation on information security and censorship.” Moreover, numerous regulations, guidelines and measures have been or are expected to be adopted under the umbrella of, or in addition to, these laws. For example, on February 14, 2025, the Cyberspace Administration of China promulgated the Personal Information Protection Compliance Audit Management Measures with effect from May 1, 2025, which requires personal information processors processing data of over 10 million individuals to conduct personal information protection compliance audits at least once every two years. In addition, personal information processors processing the personal information of over 1 million individuals shall designate a personal information protection officer in charge of the compliance audit. The personal information processors providing important internet platform services, having large number of users and complicated business type, shall establish an independent body mainly composed of external members to oversee the situation of personal information protection compliance audit.</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Cyberspace Administration of China, the Ministry of Industry and Information Technology, the Ministry of Public Security and the State Administration for Market Regulation jointly promulgated the </w:t>
      </w:r>
      <w:r>
        <w:rPr>
          <w:rFonts w:ascii="Times New Roman" w:cs="Times New Roman" w:eastAsia="Times New Roman" w:hAnsi="Times New Roman"/>
          <w:sz w:val="18"/>
          <w:szCs w:val="18"/>
          <w:i w:val="1"/>
          <w:iCs w:val="1"/>
          <w:color w:val="auto"/>
        </w:rPr>
        <w:t>Administrative Provisions on Algorithm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Recommendations of Internet Information Services </w:t>
      </w:r>
      <w:r>
        <w:rPr>
          <w:rFonts w:ascii="Times New Roman" w:cs="Times New Roman" w:eastAsia="Times New Roman" w:hAnsi="Times New Roman"/>
          <w:sz w:val="18"/>
          <w:szCs w:val="18"/>
          <w:color w:val="auto"/>
        </w:rPr>
        <w:t>on December 31, 2021, effective from March 1, 2022, which requires algorithm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 service providers to establish and improve their management systems and technical measures for, among others, data security and personal information protection. In addition, the algorithm recommendation service provider capable of social mobilization or influencing public opinion shall complete the filing with the internet information service algorithm filing system. To comply with the laws and regulations, we have established information security systems to protect users’ privacy, adopted a risk detection mechanism for data security defects and vulnerabilities, and set up an emergency response mechanism for data security incidents. We also periodically review our privacy policies and amend as needed based on the development and changes of the personal information we collect and process to ensure that we comply with relevant requirements such as obtaining users’ prior consent before the collection and processing of their personal information. While we strive to comply with our privacy guidelines as well as all applicable data protection laws and regulations, any failure or perceived failure to comply with laws and regulations may result in proceedings or actions against us by government entities or others, which could damage our reputation. However, we cannot guarantee you that regulatory authorities will not find our privacy policies insufficient again in the future, and we may be ordered to modify our privacy policies and make rectifications to meet the requirements of relevant laws or regulations. If we fail to make modifications or rectifications to the satisfaction of regulatory authorities, we may subject to administrative penalties or even removals of our mobile applications.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These laws and regulations are relatively new and substantial uncertainties exist with respect to their interpretation and implementation. Any change in laws and regulations relating to privacy, data protection and information security and any implementation of such laws and regulations could significantly increase our costs in providing our products and services, limit their use or adoption or require certain changes to our operations. We may need to adjust our business practice to comply with these cyber security and data security requirements from time to time. We have taken measures to comply with existing laws and regulations, such as submitting the filing application pursuant to the </w:t>
      </w:r>
      <w:r>
        <w:rPr>
          <w:rFonts w:ascii="Times New Roman" w:cs="Times New Roman" w:eastAsia="Times New Roman" w:hAnsi="Times New Roman"/>
          <w:sz w:val="17"/>
          <w:szCs w:val="17"/>
          <w:i w:val="1"/>
          <w:iCs w:val="1"/>
          <w:color w:val="auto"/>
        </w:rPr>
        <w:t>Administrative Provisions on Algorithm Recommendations of Internet Information Services</w:t>
      </w:r>
      <w:r>
        <w:rPr>
          <w:rFonts w:ascii="Times New Roman" w:cs="Times New Roman" w:eastAsia="Times New Roman" w:hAnsi="Times New Roman"/>
          <w:sz w:val="17"/>
          <w:szCs w:val="17"/>
          <w:color w:val="auto"/>
        </w:rPr>
        <w:t>. However, we cannot assure you that we will be compliant with these new laws and regulations in all respects in a timely manner. We may be ordered to rectify and terminate any actions that are deemed to be illegal by the regulatory authorities and become subject to fines and other regulatory sanctions, which may materially and adversely affect our business, financial condition, and results of operations. From time to time, we may receive notices, enquiries, or other communications from governmental or regulatory authorities in connection with user data protection, cybersecurity, and information security matters in our operations. In response to the notices from governmental authorities we received in 2025, we took actions to address the issues identified and completed the required rectifications; however, there can be no assurance that we will not be subject to additional regulatory scrutiny, notices, or enforcement actions in the future.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expand our business overseas, we are subject to laws and regulations and other policies in different jurisdictions related to the collection, use, retention, security, transfer or other processing of identifiable personal information. We may need to comply with increasingly complex and stringent regulations protecting business and personal data in the United States, Europe and other jurisdictions. These legal requirements are constantly evolving and impose different obligations in different jurisdictions. For example, the European Union adopted the General Data Protection Regulation, which became effective on May 25, 2018. It imposes additional obligations on companies regarding the handling of personal data and provides certain individual privacy rights to persons whose data is stored. Privacy laws continued to come into effect around the world in 2020, with one of the most significant being the California Consumer Privacy Act, which became effective on January 1, 2020. Compliance with existing, proposed and newly enacted laws, including implementation of the privacy and process enhancements called for under the General Data Protection Regulation, the California Consumer Privacy Act and regulations from other legislations can be costly as these laws may be interpreted and applied in ways that are inconsistent with our business practices. Compliance with emerging and evolving requirements in multiple jurisdictions may result in us changing our business practices, which could adversely affect our business and results of operations. We cannot assure you that we will be able to comply with the requirements of laws and regulations in different jurisdictions and other laws and regulations in a timely manner or in full. Any inability, or perceived inability, to adequately address privacy laws and regulations laws, regulations, policies, industry standards, contractual obligations, or other legal obligations could result in various administrative penalties, including fines, suspension of business operations in local jurisdictions and reputational damage.</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adversely affect the price of the ADSs and could materially and adversely affect our business, results of operations,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primarily engaged, through the Variable Interest Entity and its subsidiaries, in the business of providing distributed cloud services in China by operating a powerful internet platform in China based on cloud technology to enable our users to quickly access, store, manage and consume digital media content on the internet as well as overseas live-streaming and not in the business of investing, reinvesting or trading in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intend to continue to conduct our operations so that our company will not be deemed to be an investment company under the Investment Company Act of 1940 (the “Investment Company Act”). Section 3(a)(1) of the Investment Company Act provides, in relevant part, that an issuer will generally be deemed to be an “investment company” for purposes of the Investment Company Act if, absent an applicable exemption: under Section 3(a)(1)(A), it is or holds itself out as being engaged primarily, or proposes to engage primarily, in the business of investing, reinvesting or trading in securities; or, under Section 3(a)(1)(C),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Rule 3a-1 under the Investment Company Act generally provides that an entity will not be deemed to be an “investment company”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In addition, Rule 3a-2 under the Investment Company Act provides that an issuer is deemed not to be engaged in the business of investing, reinvesting, owning, holding or trading in securities during a period of time not to exceed one year; provided that the issuer has a bona fide intent to be engaged primarily, as soon as is reasonably possible (in any event by the termination of such period of time), in a business other than that of investing, reinvesting, owning, holding or trading in securities.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and as of December 31, 2025, we hold minority investments that have increased significantly in value from the time we made such investments, which increase in value may result in our holding investment securities exceeding 45% of the value of our total assets, exclusive of U.S. government securities and cash items, until such time as we can complete a disposition of such appreciated assets, in which case the SEC or a court might then determine that we are an investment company under the provisions of Section 3(a)(1)(C) if we are unable to rely on Rule 3a-2.</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believe that, even if we were determined to be an investment company under Section 3(a)(1)(C), we are entitled to rely on the exclusion from investment company status afforded by Section 3(b)(1) of the Investment Company Act. Section 3(b)(1) provides, in relevant part, that, notwithstanding Section 3(a)(1)(C) of the Investment Company Act, an “issuer primarily engaged, directly or through</w:t>
      </w:r>
    </w:p>
    <w:p>
      <w:pPr>
        <w:spacing w:after="0" w:line="1" w:lineRule="exact"/>
        <w:rPr>
          <w:sz w:val="20"/>
          <w:szCs w:val="20"/>
          <w:color w:val="auto"/>
        </w:rPr>
      </w:pPr>
    </w:p>
    <w:p>
      <w:pPr>
        <w:jc w:val="both"/>
        <w:ind w:firstLine="8"/>
        <w:spacing w:after="0" w:line="251" w:lineRule="auto"/>
        <w:tabs>
          <w:tab w:leader="none" w:pos="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wholly-owned … subsidiaries, in a business or businesses other than that of investing, reinvesting, owning, holding, or trading in securities” is not an investment company. We are engaged primarily, and have always since our founding been engaged, through the Variable Interest Entity and its subsidiaries, in the business of providing distributed cloud services. We do not propose to engage primarily in the business of investing, reinvesting or trading in securities. In addition, (i) our filings with the SEC, press releases, other public statements, website, and advertising and marketing materials have solely represented our as being engaged in providing distributed cloud services, (ii) our executive officers and directors are substantially involved in our cloud services business and none of them devotes significant time to the management of our investment securities holdings, and (iii) our income is primarily derived from our cloud services business and not from dividend and interest income from our investment securities holdings.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our view that we are not an investment company, it is possible, in view of the fact that the availability of the exclusion from investment company status afforded by Section 3(b)(1) of the Investment Company Act is based in part on subjective judgments as to a given issuer’s particular facts and circumstances, that the SEC, a court, or the SEC Staff would determine or take a position that we are indeed an investment company under the Investment Company Act. If we were to become subject to the Investment Company Act, any violation of the Investment Company Act could subject us to material adverse consequences, including potentially significant regulatory penalties and the possibility that certain of our contracts would be deemed unenforceable. Additionally, as an issuer organized outside the United States, we would not be eligible to register under the Investment Company Act absent an SEC exemptive order. Accordingly, in order to fall outside the definition of an investment company, we would either have to obtain exemptive relief from the SEC or dispose of certain assets, which may require disposition of assets that we would otherwise wish to retain or disposition of assets at inopportune times. Additionally, we may have to forego potential future acquisitions of assets that we would otherwise want to acquire and that would be important to our business strategy or may be required to materially restrict or limit the scope of our operations or plans. Failure to avoid being deemed an investment company under the Investment Company Act could also make us unable to comply with our reporting obligations as a public company in the United States and lead to our being delisted from Nasdaq Stock Market LLC, which would have a material adverse effect on the liquidity and value of our ADSs. Finally,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and adversely affected if our cooperation with Itui regarding online advertising is unsuccessful. We may also be subject to penalties from government authorities due to certain actions or inactions of Itui in connection with online advertising, which is beyond our control.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2020, we entered into an advertising revenue sharing agreement with a subsidiary of Itui International Inc., our largest shareholder, and we renewed such agreement on a yearly basis. Under such agreement, Itui provides us with online traffic monetization services, including operation and placement of advertisements, research and technology support with respect to advertising systems, business algorithm platform as well as content recommendation and other optimization services. By outsourcing our advertising business to Itui, we intend to take advantage of Itui’s advanced precision targeting algorithm to achieve better placement of advertisement. However, we cannot assure you that we can further improve the results of operations of online advertising through such cooperation in the future. In our cooperation with Itui, we require Itui to comply with all laws and regulations regarding advertising. However, we have no control over Itui and we cannot assure you that Itui will be able to operate the advertising business and its advertising platform legally and successfully. We may still be liable for certain circumstances in connection with Itui that are beyond our control, and our business may also be negatively affected. In addition, if we are unable to maintain our cooperation with Itui for whatever reasons and we are unable to find a suitable replacement in a timely manner, or at all, our advertising revenue may experience significant decline. As a result, our business and financial condition may be negatively affected.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platforms to distribute our mobile applications. If we are unable to maintain a good relationship with such platform providers, if their terms and conditions or pricing were changed to our detriment, if we violate, or if a platform provider believes that we have violated, the terms and conditions of its platform, or if any of these platforms loses market share or falls out of favor or is unavailable for a prolonged period of time, our mobile strategy may suffer.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standard policies and terms of service of third-party platforms, which govern the distribution of our mobile application on such platforms. Each platform provider has broad discretion to change and interpret its terms of service and other policies with respect to us and other users, and those changes and interpretation may be unfavorable to us. A platform provider may also change its fee structure, add fees associated with access to and use of its platform, alter how we are able to advertise or distribute on the platform, or change how personal information of its users is made available to application developers on the platform. Such changes may decrease the visibility or availability of our applications, limit our distribution capabilities, prevent access to our applications, reduce the amount of downloads and revenue we may recognize from the applications, increase our costs to operate on these platforms or result in the exclusion or limitation of our application on such platforms. Any such changes could adversely affect our business, financial condition or results of operations.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violate, or a platform provider believes we have violated its terms of service (or if there is any change or deterioration in our relationship with these platform providers), or if it establishes more favorable relationships with one or more of our competitors or it determines that we are a competitor, that platform provider could limit or discontinue our access to the platform. Any limit of, or discontinuation to, our access to any platform could adversely affect our business, financial condition or results of operations. Our mobile applications had previously been removed from Apple’s iOS App Store as a result of alleged violations of the developer license agreement between Apple and us. Although we successfully re-launched our mobile applications on App Store, we cannot assure you such removal will not happen again in the future. In addition, we have experienced in the past where Google Play Store failed to accept the launch of a new app by us where the specific reasons for such failures were not fully disclosed to us. Although we have managed to launch such apps on Google Play Store, the delay in our new app launch may negatively affect our business expansions, and we cannot assure you such delay will not happen again in the future. Furthermore, other app stores also have the right to update their store policies. If we are deemed to violate their policies, our mobile applications may be removed from App Store again or other app stores at the same time, which may significantly harm our mobile strategy, materially and adversely affect our business operations,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licenses or permits applicable to our businesses or to our third-party services providers and any changes in government policies or regulations in China may have a material and adverse impact on our businesses, financial condition and results of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government supervision and regulations by various PRC government authorities, including the State Council, the Ministry of Industry and Information Technology, the National Radio and Television Administration, the National Press and Publication Administration and the Ministry of Culture and Tourism. Together these government authorities promulgate and enforce regulations that cover many aspects with respect to the operation of telecommunications and internet information services, including entry into the telecommunications industry, the scope of permissible business activities, licenses and permits for various business activities and foreign investment. For instance, the Ministry of Industry and Information Technology issued the Notice on the Filing of Mobile Internet Applications on July 21, 2023, which requires operators of internet application programs in China to complete the record filing for their internet application programs by the end of March 2024. As required under applicable regulations, we submit applications for the relevant filing procedures prior to making our apps available on app stores and periodically submit filings for new or updated versions of our apps. However, we cannot assure that filing procedures for each new or updated app will be completed on a timely basis.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advised by our PRC legal counsel, a license for online transmission of audio-visual programs is required for Shenzhen Xunlei to provide video content display services through Xunlei Media Player. See “Item 4. Information on the Company—B. Business Overview—Regulation—PRC regulation on online transmission of audio-visual programs.” In June 2018, Shenzhen Xunlei, through its subsidiary, Shenzhen Wangwenhua, acquired 80% of the equity interest of Henan Tourism Information Co., Ltd., a registered owner of the license for online transmission of audio-visual programs, from an independent third party. Such license will expire on February 28, 2027. However, Shenzhen Xunlei, the entity that provides our video content display services, is not a registered owner of the license for online transmission of audio-visual programs. As a result, it is possible that the PRC government authorities could determine that these businesses are operating without proper licenses. We may be required to obtain additional licenses, permits, filings or approvals for the functions and services of our platform in the future.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completed the acquisition of Shanghai Kuanghui, which operates Hupu, in May 2025. Shanghai Kuanghui holds a Value-added Telecommunication Services License and an Internet Cultural Business License. However, we do not possess the internet news information services license, the license for online transmission of audio-visual programs, or the internet publishing permit, which might be necessary for operating Hupu. Additionally, as advised by our PRC legal counsel, the licensed scope of these existing licenses may not cover all the services Hupu provides. If we are required to obtain such permissions or approvals, we cannot assure you that we will be able to do so in a timely manner, or at all. Any failure to obtain required permissions or approvals may subject us to penalties, including fines, suspension of business, and revocation of relevant licenses.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above, if the PRC government promulgates new laws and regulations that require additional licenses or imposes additional restrictions on the operation of any part of our business, it has the power to, among other things, levy fines, confiscate our income, revoke our business licenses, require us to discontinue our business or impose restrictions on the affected portion of our business. Any of these actions by the PRC government may have a material and adverse effect on our results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PRC government authorities may find that we are operating license-required businesses without a proper license, and thus may issue warnings, order us to rectify our operations and impose fines on us. In the case of serious violations as determined by government authorities at their discretion, they may ban such operations, seize our equipment in connection with such operations and impose a penalty of one to two times of the amount of the total investment in such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and expenses, such as research and development expenses, may increase and our results of operations may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operation of our extensive cloud-based acceleration as well as our exploration and implementation of our new business strategies require significant upfront capital expenditures as well as continual, substantial investment in content, technology and infrastructure. Since inception, we have invested substantially in research and development to maintain our technology leadership, and in equipment to increase our network capacity. We expect our research and development expenses to increase in the near term as we continue to expand our research and development team to develop new products and update existing products, particularly as we continue devoting resources in developing our overseas business and updating our mobile products. Most of our capital expenditures, such as expenditures on servers and other equipment, are based upon our estimation of potential future demand and we are generally required to pay the entire purchase price and license fees upfront. As a result, our cash flow may be negatively affected in the periods in which such payments are made. We may not be able to quickly generate sufficient revenue from such expenditures, which may negatively affect our results of operations within certain periods thereafter; and if we overestimate future demand for our services, we may not be able to achieve expected rates of return on our capital expenditures, or at all.</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bandwidth and other costs are subject to change and are determined by market supply and demand. For example, the revenue sharing costs for broadcasting may change from time to time due to intense market competition, leading to an increase in our costs. In addition, if bandwidth and other providers cease their business with us or raise the prices of their products and services, we will incur additional costs to find alternative service providers or to accept the increased costs in order to provide our services. If we cannot maintain a cost-effective operation, or if our costs to deliver our services do not decline commensurate with any future declines in the prices we charge our users, our results of operations may be adversely affected and we may fail to achieve profitability.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collect accounts receivable in a timely manner or at all, our financial condition, results of operations and prospects may be materially and adversely affected.</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outsourced our advertising operations to Itui since 2020 and generate a considerable portion of our revenues from the advertising revenue sharing agreement entered into with Itui, which resulted in a significant amount of accounts receivable as of December 31, 2025. The financial soundness of Itui, as well as the advertising agencies and advertisers it collaborates with, may thus impact our collection of such accounts receivable. We require Itui to conduct credit assessments on the advertising agencies and advertisers it works with to evaluate the collectability of relevant amounts prior to entering into business arrangements. However, we cannot assure you that Itui will always be able to accurately assess the creditworthiness of each of these advertising agencies and advertisers. Any failure of Itui, the advertising agencies or advertisers to make timely payments to us may adversely affect our liquidity and cash flows. In addition, the online advertising market in China is dominated by a small number of large advertising agencies. If these major advertising agencies that Itui has business relationships with demand higher rebates for their agency services, or if we are unable to collect accounts receivable from Itui in a timely manner pursuant to our revenue sharing agreement, our results of operations will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address the challenges and risks we face in the online games market, such as failure to operate popular, high-quality games or to obtain all the licenses required to operate online games, which may subject us to penalties from government authorities, including the discontinuance of our online game business.</w:t>
      </w:r>
    </w:p>
    <w:p>
      <w:pPr>
        <w:spacing w:after="0" w:line="13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We have cooperated with third parties to operate certain web games since 2019. See “Item 4. Information on the Company—B. Business Overview—Our Platform—Online game services.” Operating online games in China requires several permits and approvals. For example, </w:t>
      </w:r>
      <w:r>
        <w:rPr>
          <w:rFonts w:ascii="Times New Roman" w:cs="Times New Roman" w:eastAsia="Times New Roman" w:hAnsi="Times New Roman"/>
          <w:sz w:val="18"/>
          <w:szCs w:val="18"/>
          <w:i w:val="1"/>
          <w:iCs w:val="1"/>
          <w:color w:val="auto"/>
        </w:rPr>
        <w:t>the Administrative Provisions on Online Publishing Services</w:t>
      </w:r>
      <w:r>
        <w:rPr>
          <w:rFonts w:ascii="Times New Roman" w:cs="Times New Roman" w:eastAsia="Times New Roman" w:hAnsi="Times New Roman"/>
          <w:sz w:val="18"/>
          <w:szCs w:val="18"/>
          <w:color w:val="auto"/>
        </w:rPr>
        <w:t xml:space="preserve"> provides that ICP service operators must obtain the Internet Publishing Services License prior to provision of any online game publishing services. The </w:t>
      </w:r>
      <w:r>
        <w:rPr>
          <w:rFonts w:ascii="Times New Roman" w:cs="Times New Roman" w:eastAsia="Times New Roman" w:hAnsi="Times New Roman"/>
          <w:sz w:val="18"/>
          <w:szCs w:val="18"/>
          <w:i w:val="1"/>
          <w:iCs w:val="1"/>
          <w:color w:val="auto"/>
        </w:rPr>
        <w:t>Notice Regarding the Consistent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of the “Stipulations on ‘Three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 </w:t>
      </w:r>
      <w:r>
        <w:rPr>
          <w:rFonts w:ascii="Times New Roman" w:cs="Times New Roman" w:eastAsia="Times New Roman" w:hAnsi="Times New Roman"/>
          <w:sz w:val="18"/>
          <w:szCs w:val="18"/>
          <w:color w:val="auto"/>
        </w:rPr>
        <w:t>issued jointly by the General Administration of Press and Publication,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Radio, Film, and Television, or GAPPRFT, and other administrations confirmed that the entities operating internet games must obtain the Internet Publication Services License. In addition, on December 22, 2023, the National Press and Publication Administration released the draft </w:t>
      </w:r>
      <w:r>
        <w:rPr>
          <w:rFonts w:ascii="Times New Roman" w:cs="Times New Roman" w:eastAsia="Times New Roman" w:hAnsi="Times New Roman"/>
          <w:sz w:val="18"/>
          <w:szCs w:val="18"/>
          <w:i w:val="1"/>
          <w:iCs w:val="1"/>
          <w:color w:val="auto"/>
        </w:rPr>
        <w:t>Online Game Administrative Measures</w:t>
      </w:r>
      <w:r>
        <w:rPr>
          <w:rFonts w:ascii="Times New Roman" w:cs="Times New Roman" w:eastAsia="Times New Roman" w:hAnsi="Times New Roman"/>
          <w:sz w:val="18"/>
          <w:szCs w:val="18"/>
          <w:color w:val="auto"/>
        </w:rPr>
        <w:t>, which requires both online game publishers and operating entities to obtain Internet Publishing Services License. See “Item 4. Information on the Company—B. Business Overview—Regulation —PRC regulation on online games” for more details. Therefore, as advised by our PRC legal counsel, a Value-added Telecommunication Services License is required for operating online games and an Internet Publishing Services License is required for operating internet publishing services. Each of Shenzhen Xunlei and its subsidiaries that operate online games has obtained the Value-added Telecommunication Services License for operating our online game business. Shenzhen Xunlei, which holds 70% of the equity interest in Xunlei Games, had previously obtained an Internet Publishing Services License for the publication of internet games, which expired on September 17, 2022. We have submitted the renewal application, however, as of the date of this annual report, the renewal has not yet been approved. In addition, none of Shenzhen Xunlei, Shanghai Kuanghui or any of their subsidiaries that operates online games has obtained the Internet Publishing Services License. Given the uncertainties involved in the interpretation and implementation of laws and regulations and the enforcement practices of government authorities, we cannot assure you that government authorities would not require Shenzhen Xunlei and its subsidiary that operates online games to obtain the Internet Publishing Services Licenses as well. As a result, PRC government authorities may find that these entities are operating online game services without proper license and thus may penalize us accordingly. If that were to happen, we would be subject to orders to shut down the website or delete all online publications, confiscation of illegal income and major equipment or fines. As of the date of this annual report, we have not received any administrative penalties, including fines, restrictions or suspension of our business, or regulatory inquiries for our operation without an effective Internet Publishing Services License. In addition, an approval number (ISBN number) from the National Press and Publication Administration shall be obtained for an online game before it is launched online. In our cooperation with online game providers, we require ISBN numbers be obtained for the online games within the scope of our cooperation. However, as we are not the developers or publishers of those online games, we cannot assure you that the ISBN numbers of those online games are obtained in strict compliance with legal requirements and procedures without any defects, or any required amendment filings are made in compliance with legal requirements. If the ISBN numbers are obtained not in compliance with laws and regulations, or amendment filings are not made timely, government authorities may impose fines on us, confiscate our income generated from operating such online games and require us to delete all online publications or discontinue our online game business.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PRC laws and regulations require that online game content shall not advocate cult, superstition, obscenity, pornography, gambling or violence, or abet commission of crime. As we are not the developers of the online games we operate, we cannot assure you that the content of the online games we operate is fully in compliance with such requirement. Failure to comply with PRC laws and regulations may subject us to liability, administrative actions or penalties imposed by PRC authorities. The imposition of any of these penalties may result in a material and adverse effect on our ability to operate our online game business and our results of operations. As of the date of this annual report, we were not involved in any lawsuits relating to the online games we operate. However, as we do not have control over the content of the online games we operate, we cannot assure you that we will not be subject to any intellectual property infringement claims or misappropriation claims. Defending those claims, with or without merits, could be costly and time-consuming, and diverge our management’s attention. If we or our third-party online game providers lose the cases, we may be required to pay a large amount of damages or immediately discontinue the operation of relevant online games. If we are unable to find alternative solutions on commercially reasonable terms on a timely basis, our online game business, reputation and results of operations may be materially and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October 2019, General Administration of Press and Publication issued </w:t>
      </w:r>
      <w:r>
        <w:rPr>
          <w:rFonts w:ascii="Times New Roman" w:cs="Times New Roman" w:eastAsia="Times New Roman" w:hAnsi="Times New Roman"/>
          <w:sz w:val="18"/>
          <w:szCs w:val="18"/>
          <w:i w:val="1"/>
          <w:iCs w:val="1"/>
          <w:color w:val="auto"/>
        </w:rPr>
        <w:t>the Notice by the General Administration of Press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Publication of Preventing Minors from Indulging in Online Games</w:t>
      </w:r>
      <w:r>
        <w:rPr>
          <w:rFonts w:ascii="Times New Roman" w:cs="Times New Roman" w:eastAsia="Times New Roman" w:hAnsi="Times New Roman"/>
          <w:sz w:val="18"/>
          <w:szCs w:val="18"/>
          <w:color w:val="auto"/>
        </w:rPr>
        <w:t>, which imposes an array of restrictive measures to prevent underage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users from indulging in online games. For example, this notice requires game operators to implement a real-name registration system for players of online games and take effective measures to restrict underage players from using paid services. Furthermore, on August 30, 2021, the National Press and Publication Administration issued </w:t>
      </w:r>
      <w:r>
        <w:rPr>
          <w:rFonts w:ascii="Times New Roman" w:cs="Times New Roman" w:eastAsia="Times New Roman" w:hAnsi="Times New Roman"/>
          <w:sz w:val="18"/>
          <w:szCs w:val="18"/>
          <w:i w:val="1"/>
          <w:iCs w:val="1"/>
          <w:color w:val="auto"/>
        </w:rPr>
        <w:t>the Notice on Further Strict Management to Prevent Minors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Indulging in Online Games</w:t>
      </w:r>
      <w:r>
        <w:rPr>
          <w:rFonts w:ascii="Times New Roman" w:cs="Times New Roman" w:eastAsia="Times New Roman" w:hAnsi="Times New Roman"/>
          <w:sz w:val="18"/>
          <w:szCs w:val="18"/>
          <w:color w:val="auto"/>
        </w:rPr>
        <w:t>, which requires all online game operators to provide services to minors only on any Friday, Saturday, Sunday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statutory holidays for one hour from 8:00 p.m. to 9:00 p.m., and not to provide online games in any form to users who have not registered or logged in with their real names. We have implemented a real-name registration system for our online games. Game operators or developers of the online games on our platform are able to access our real-name registration system and implement their anti-indulgence measures based on the identity information in our system. In addition to the real-name registration system in place, we have adjusted the systems in the games we operate to comply with this notice. In February 2021, Shenzhen Press and Publication Bureau issued </w:t>
      </w:r>
      <w:r>
        <w:rPr>
          <w:rFonts w:ascii="Times New Roman" w:cs="Times New Roman" w:eastAsia="Times New Roman" w:hAnsi="Times New Roman"/>
          <w:sz w:val="18"/>
          <w:szCs w:val="18"/>
          <w:i w:val="1"/>
          <w:iCs w:val="1"/>
          <w:color w:val="auto"/>
        </w:rPr>
        <w:t>the Notice on Interface Docking of Anti-indulgence and Real Name Registration System to Prevent Minors from Indulging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Online Games</w:t>
      </w:r>
      <w:r>
        <w:rPr>
          <w:rFonts w:ascii="Times New Roman" w:cs="Times New Roman" w:eastAsia="Times New Roman" w:hAnsi="Times New Roman"/>
          <w:sz w:val="18"/>
          <w:szCs w:val="18"/>
          <w:color w:val="auto"/>
        </w:rPr>
        <w:t>, which requires all online game enterprises in Guangdong Province to file an application before April 30, 2021,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games to connect with the National Anti-Indulgence and Real-Name Registration System established by Publication Bureau of the Publicity Department of the Communist Party of China Central Committee before June 1, 2021. We completed the requisite filing and connected our online games to the National Anti-Indulgence and Real Name Registration System in June 2021. In addition, on December 22, 2023, the National Press and Publication Administration released the draft </w:t>
      </w:r>
      <w:r>
        <w:rPr>
          <w:rFonts w:ascii="Times New Roman" w:cs="Times New Roman" w:eastAsia="Times New Roman" w:hAnsi="Times New Roman"/>
          <w:sz w:val="18"/>
          <w:szCs w:val="18"/>
          <w:i w:val="1"/>
          <w:iCs w:val="1"/>
          <w:color w:val="auto"/>
        </w:rPr>
        <w:t>Online Game Administrative Measures</w:t>
      </w:r>
      <w:r>
        <w:rPr>
          <w:rFonts w:ascii="Times New Roman" w:cs="Times New Roman" w:eastAsia="Times New Roman" w:hAnsi="Times New Roman"/>
          <w:sz w:val="18"/>
          <w:szCs w:val="18"/>
          <w:color w:val="auto"/>
        </w:rPr>
        <w:t>, which requires both online game publishers and operating entities to obtain Internet Publishing Services License and curb excessive spending through setting spending limits and prohibitions on rewards to entice frequent gameplay. See “Item 4. Information on the Company—B. Business Overview—Regulation—PRC regulation on online games” for more details. The National Press and Publication Administration solicited public comments on this draft by January 22, 2024, but there is no timetable as to when it will be enacted. If it is enacted as is, it is uncertain whether we can or how long it will take us to obtain license or approval or meet relevant requirements, and any such approval or filing could be rescinded or rejected. However, if any third-party online game operators, developers or we fail to comply with the above requirements, we may have joint or several liabilities and thus be subject to administrative penalties. Penalties may include fines, taking corrective actions during specified periods, shutting down of our online games operations and license revocation. If any of the above were to happen, our online game business and results of operations would be negatively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market and may not be able to compete effectively.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different areas of our business. Some of our existing or potential competitors have a longer operating history and significantly greater financial resources than we do, and in turn may be able to attract and retain more users and advertisers. Our competitors may compete with us in a variety of ways, including by conducting brand promotions and other marketing activities and making acquisitions. In the cloud acceleration sector, although we currently enjoy a niche market in China for cloud acceleration products and services, we cannot guarantee that we will be able to maintain our market position in the future. We may face competition from leading Chinese internet companies if they start to allocate resources and focus on the development in this business sector or from startups who may develop similar or alternative products. With more entrants into the cloud acceleration business, aggressive price cutting by competitors may result in a loss of our existing subscribers. We may have to take actions to retain our user base and attract more subscribers at significant cost, including upgrading and developing existing and new products and services in order to meet users’ changing demand, but we cannot assure you that such efforts will succeed, especially given the tightening control over internet content by the Chinese government. See “—If we fail to keep up with the technological development in the internet industry and users’ changing demand, our business, financial condition and results of operations may be materially and adversely affected” and “— Regulation and censorship of information disseminated over the internet in China have adversely affected our business and may continue to adversely affect our business, and we may be liable for the digital media content on our platform.” If we are unable to effectively compete in any aspect of our business, our business, financial condition and results of operations may be materially and adversely effected.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Undetected programming errors or flaws or failure to maintain effective customer service could harm our reputation or decrease market acceptance of our services, particularly our resource discovery network, which would materially and adversely affect our results of operations.</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programs may contain programming errors that may only become apparent after their release, especially in terms of upgrades to, for example, Xunlei Accelerator or subscription services. We receive user feedback in connection with programming errors affecting user experience from time to time, and such errors may also come to our attention during our monitoring process. However, we cannot assure you that we will be able to detect and resolve all these programming errors effectively or in a timely manner. Undetected programming errors or defects may adversely affect user experience and cause our users to stop using our services and our advertisers to reduce their use of our services, any of which could materially and adversely affect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Advertisements displayed on our platform may subject us to penalties and other administrative actions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PRC advertising laws and regulations, advertisement channels such as us are obligated to monitor the advertising content they display to ensure that such content is true, accurate and in full compliance with applicable laws and regulations.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In April 2015, the Standing Committee of the National People’s Congress enacted the PRC Advertisement Law, which took effect on September 1, 2015 and was last amended on April 29, 2021, to further strengthen the supervision and management of advertisement services. Pursuant to the PRC Advertisement Law, any advertisement that contains false or misleading information to deceive or mislead consumers shall be deemed false advertising. Furthermore, the PRC Advertisement Law explicitly stipulates detailed requirements for the content of several different kinds of advertisements, including those for medical treatment, pharmaceuticals, medical instruments, health food, alcoholic drinks, education or training, products or services having an expected return on investment, real estate, pesticides, feed and feed additives and agriculture. On February 25, 2023, the State Administration for Market Regulation issued the Measures for the Administration of Internet Advertising, effective May 1, 2023, which provides requirements on various forms of online advertising. See “Item 4. Information on the Company—B. Business Overview— Regulation—PRC regulation on advertising business” for details. In providing advertising services, we are required to review the supporting documents provided to us by advertising agencies or advertisers for the advertisements and verify that the content of the advertisements complies with PRC laws and regulations. Prior to distributing advertisements that are subject to government censorship and approval, we are obligated to verify that such censorship has been performed and approval has been obtained. Violation of these regulations may result in penalties, including fines, confiscation of advertising income, orders to eliminate the effect of illegal advertisement and cessation of publishing the advertisement. In circumstances involving serious violations, the State Administration for Market Regulation or its local branches may revoke the licenses or permits of the offenders for their advertising business operations.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taken several measures to fulfill these obligations specified by the PRC laws and regulations set forth above. We have outsourced our advertising business to Itui since 2020 and required Itui to set up an effective review mechanism for each advertisement it placed on our websites and platform so as to ensure the content is in full compliance with legal requirements. However, we cannot assure you that all the content contained in such advertisements are true and accurate as required by the advertising laws and regulations, especially given the uncertainty in the application of these laws and regulations. If we are found to be in violation of PRC advertising laws and regulations in the future, we may be subject to penalties and our reputation may be harmed, which may have a material and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relating to third parties’ billing and payment systems.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billing and payment systems of third parties such as online third-party payment processors help us maintain accurate records of payments of sales proceeds by certain subscribers and other paying users and collect such payments. Our business and results of operations could be adversely affected if these third parties fail to accurately account for or calculate the revenues generated from the sales of our products and services. Moreover, if there are security breaches or failure or errors in the payment process of these third parties, user experience may be affected and our business results may be negatively impacted.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channels for the payment of our services and products typically comprise third-party online system, landline and mobile phone payment. A significant portion of the payments have been made through our online payment system since 2014. Although we have been able to control our payment handling charges by encouraging our subscribers to use the third-party online payment system which charges relatively lower levels of handling fees compared with other payment channels, we cannot assure you that these third-party payment service providers will not increase fee levels charged to us or we are able to continuously maintain our cooperative relationship with them in commercially acceptable terms. Also, the subscribers may change their habits to make payments through mobile phones or other third-party online payment channels with higher costs. If that were to happen in the future, or if we fail to minimize the associated payment handling charges, our results of operations may be adversely affected due to any suspension of these payment channels and we may not be able to find any suitable alternatives in a timely manner, or at all.</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do not have control over the security measures of our third-party payment service providers, and security breaches of the online payment systems that we use could expose us to litigation and possible liability for failing to secure confidential customer information and could, among other things, damage our reputation and the perceived security of all of the online payment systems we use. In addition, there may be labeling errors or billing software errors that would damage customer confidence in these payment systems. If any of the above were to occur, we may lose paying users and users may be discouraged from purchasing our products, which may have an adverse effect on our business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awards under our share incentive plans, which may result in increased share-based compensation expenses.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granted share-based compensation awards, including share options and restricted shares, to various employees, key personnel and other non-employees to incentivize performance and align their interests with ours. In June 2020, we terminated our 2010 share incentive plan, 2013 share incentive plan and 2014 share incentive plan and adopted a 2020 share incentive plan, as restated and amended, or the 2020 Plan. Upon the termination of our then-existing share incentive plans, the awards that are granted and outstanding under those share incentive plans and the evidencing original award agreements shall remain effective and binding under the 2020 Plan, subject to any amendment and modification to the original award agreements that we shall determine. Under the 2020 Plan, we were authorized to issue a maximum number of 31,000,000 common shares of our company upon exercise of the options or other types of awards. Our board of directors amended and restated the 2020 Plan in March 2023 and April 2024 for the purpose of increasing the number of reserved shares under the plan. The maximum number of shares available for grant of awards under the 2020 Plan is currently 61,525,345. As of March 31, 2026, 9,163,550 restricted share units had been granted and outstanding under the 2020 Plan. As of March 31, 2026, our unrecognized share-based compensation expenses relating to the awards outstanding under the 2020 Plan amounted to US$7.8 million. See “Item 6. Directors, Senior Management and Employees—B. Compensation—Share Incentive Plan” for details.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issued the equivalent number of common shares upon the vesting and exercise of options, restricted shares and restricted share units under our share incentive plans. The amount of these expenses is based on the fair value of the share-based compensation awards we granted. The expenses associated with share-based compensation have affected our net income and may reduce our net income in the future, and any additional securities issued under share-based compensation schemes will dilute the ownership interests of our shareholders, including holders of our ADSs. We believe the granting of incentive awards is of significant importance to our ability to attract and retain key personnel and employees, and we will continue to grant stock options, restricted shares and other share awards to employees in the future. As a result, our expenses associated with share-based compensation may continue to increase, which may have an adverse effect on our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and collaborative efforts of our senior management and key employees are crucial to our success, and our business may be harmed if we were to lose their services.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the continuous efforts and services of our senior management team. If one or more of our executives or other key personnel are unable or unwilling to continue to provide services to us for whatever reasons, we may not be able to find suitable replacements easily or at all. Competition for management and key personnel in the industries we operate is intense and the pool of qualified candidates is limited. We may not be able to retain the services of our executives or key personnel or attract and retain experienced executives or key personnel in the future. If any of our executive officers or key employees joins a competitor or forms a competing company, we may lose advertisers, know-how and key professionals and staff members. Each of our executive officers has entered into an employment agreement with us, which contains a non-compete provision. However, if any dispute arises between us and our executives or key employees, these agreements may not be enforceable in China, where these executives and key employees reside.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often grant additional incentive shares to management personnel and other key employees after their hire dates, the initial grants are usually much larger than subsequent grants. Employees may be more likely to leave us after their initial incentive share grant fully vests, especially if the value of such incentive shares has significantly appreciated in value relative to the exercise price. If any member of our senior management team or other key personnel leaves our company, our ability to successfully operate our business and execute our business strategy could be impaired.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misconduct of our employees may negatively affect our reputation and corporate image, which in turn may adversely affect our business and prospects.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corporate image is of significant importance to the success of our business. If any of our employees engages in any misconduct, whether or not related to the employee’s work at our company, our reputation and corporate image may be negatively affected. Historically, there was negative publicity about our company and our management, which adversely affected our brand, public image and reputation. A member of our senior management team who is also our director was subject to certain legal sanctions in China in the past due to copyright infringement activities when working at another company unrelated to us. Even though the infringement activities took place a number of years before the executive joined our company and had nothing to do with us, the past misconduct of the executive and the sanctions he was subject to may negatively affect our reputation and corporate image, which in turn may adversely affect our business and prospects. As part of our internal compliance procedures, we routinely conduct internal audits and inspections, including exit interviews and audits, on current and former employees. Any misconduct by our current or former employees uncovered from such compliance procedures, whether the misconduct relates to the employees’ work with us or not, would potentially have material adverse impacts on our reputation, results of operations, financial performance or future prospects. For example, in 2025, we, together with Shenzhen Onething, initiated the lawsuit against Mr. Lei Chen and his core team, accusing him of harming the interests of us and Shenzhen Onething. The case is currently pending in first-instance proceedings. In addition, we may also face disputes with former or current disgruntled employees. Any allegations against us, with or without merits, may negatively affect our reputation and corporate image.</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alliances, investments or acquisitions may have a material and adverse effect on our business, reputation, results of operations and financial condition.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establish strategic alliances with various third parties to further our business purposes from time to time. Strategic alliances with third parties could subject us to a number of risks, including risks associated with sharing proprietary information, nonperformance by the counterparty, and an increase in expenses incurred in establishing new strategic alliances, any of which may materially and adversely affect our business. We may have limited ability to control or monitor their actions. To the extent the third parties suffer negative publicity or harm to their reputation from events relating to their businesses, we may also suffer negative publicity or harm to our reputation by virtue of our association with such third parties.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invested in or acquired assets, technologies or businesses that are complementary to our existing business. If we are presented with appropriate opportunities, we may continue to do so in the future. For example, in May 2025, we completed the closing of the acquisition of Shanghai Kuanghui, which operated Hupu, a leading sports media and data platform in China, for a total cash consideration of RMB500 million. However, uncertainties exist with respect to the integration of Hupu into our existing business lines as well as the synergies arising from the acquisition. Investments or acquisitions and the subsequent integration of new assets and businesses into our own would require significant attention from our management and could result in a diversion of resources from our existing business, which in turn could have an adverse effect on our business operations. The costs of identifying and consummating investments and acquisitions may be significant. We may also incur significant expenses in obtaining necessary approvals from government authorities in China and elsewhere in the world. In addition, investments and acquisitions could result in the use of substantial amounts of cash, potentially dilutive issuances of equity securities and exposure to potential unknown liabilities or legal risks of the acquired business. The cost and duration of integrating newly acquired businesses could also materially exceed our expectations. Even if we complete the desired acquisitions or investment, such acquisitions and investment may expose us to new operational, regulatory, market and geographic risks and challenges, including:</w:t>
      </w:r>
    </w:p>
    <w:p>
      <w:pPr>
        <w:spacing w:after="0" w:line="187" w:lineRule="exact"/>
        <w:rPr>
          <w:sz w:val="20"/>
          <w:szCs w:val="20"/>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key business relationships and the reputation of the businesses we acquire or invest in;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 of the acquired or invested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entry into markets in which we have limited or no prior experience and in which competitors have stronger market positions;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as well as industry or technical standards of the markets into which we expand;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unfamiliar affiliates and partners of the companies we acquire or invest in;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performance of the businesses we acquire or invest in;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 for the liabilities associated with the businesses we acquire, including those that we may not anticipate;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risks associated with the businesses that we acquire;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acquired technology into our business and operations;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and maintain a successful business model and to monetize and generate revenues from the businesses we acquire;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internal standards, controls, procedures and policies.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these events could disrupt our ability to manage our business. These risks could also result in our failure to derive the intended benefits of the acquisitions or investments, and we may be unable to recover our investment in such initiatives or may have to recognize impairment charges as a result.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financing and payment arrangements we use in any acquisition could have a negative impact on you as an investor, because if we issue shares in connection with an acquisition, your holdings could be diluted. Moreover, if we take on significant debt to finance such acquisitions, we would incur additional interest expenses, which would divert resources from our working capital and potentially have a material adverse impact on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uncertainties exist with respect to our historical LinkToken operations, which may have an adverse effect on our brand and reputation.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past involvement with LinkToken, a digital ticket based on blockchain technology developed in 2017 and disposed of in 2019, presents regulatory uncertainties that may impact our business. LinkToken was used in the OneThing Cloud reward program, allowing users to earn tokens by sharing bandwidth and storage, which could be redeemed for products and services. In April 2019, we transferred all LinkToken operations to an independent third party, who terminated the reward program in April 2020. Despite we no longer operate LinkToken and no financial regulators have imposed any administrative penalties against us relating to our previous operations of LinkTokens on the basis that we previously engaged in token fundraising activities, we continue to receive user complaints, particularly concerning the program’s termination, which may adversely affect our brand and reputation.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as well as our ability to obtain financing, may be adversely affected by a downturn in the global or Chinese economy. A severe or prolonged downturn in the Chinese or global economy could materially and adversely affect our business and financial condition.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industries in which we operate may be affected by economic downturns. For example, a prolonged slowdown in the world economy, including in the Chinese economy, may lead to a reduced amount of advertising and a lower level of purchasing power by our users, which could materially and adversely affect our business, financial condition and results of operations. In addition, certain of our products and services may be viewed as discretionary by our users, who may choose to discontinue or reduce spending on such products and services during an economic downturn. In such an event, our ability to retain existing users and increase new users will be adversely affected, which would in turn negatively impact our business and results of operations. Moreover, a slowdown or disruption in the global or Chinese economy may have a material and adverse impact on financings available to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COVID-19 had a severe and negative impact on the Chinese and the global economy from 2020 through early 2023, and the global macroeconomic environment still faces numerous challenges. The growth rate of the Chinese economy has been slowing since 2010 and the Chinese population began to decline in 2022. The Russia-Ukraine conflict and the Hamas-Israel conflict and attacks on shipping in the Red Sea have heightened geopolitical tensions across the world. The impact of the Russia-Ukraine conflict on Ukraine food exports has contributed to increases in food prices and thus to inflation more generally. More recently, the military conflicts in the Middle East may have negative impact on the world economy and capital markets and its full impact is yet to be seen.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in China.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successful operation of our business depends on the performance of the internet infrastructure and telecommunications networks in China. In China, almost all access to the internet is maintained through state-owned telecommunications operators under the administrative control and regulatory supervision of the Ministry of Industry and Information Technology. Moreover, we have entered into contracts with various subsidiaries of a limited number of telecommunications service providers in each province for network-related services. On the one hand, if the internet industry in China does not grow as quickly as expected, our business and operations will be negatively affected. We have limited access to alternative networks or services in the event of disruptions, failures or other problems with China’s internet infrastructure or the telecommunications networks provided by telecommunications service providers. In addition, our network and website regularly serve a large number of users and advertisers. With the expansion of our business, we may be required to upgrade our technology and infrastructure to keep up with the increasing traffic on our website.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 On the other hand, if the internet industry grows faster than expected and we cannot react to the market demand in a timely manner in terms of our research and development effort, the user experience and the attractiveness of our services may be harmed, which will negatively impact our business and results of operations.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disclosure controls and procedures or an effective system of internal control over financial reporting, we may be unable to accurately report our financial results or prevent fraud or fail to meet our reporting obligations, and investor confidence in our company and the market price of our ADSs may be adversely affected.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our internal control over financial reporting. We are subject to the requirement to provide attestation by our independent registered public accounting firm on effectiveness of internal control over financial reporting.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December 31, 2025, as required by Rule 13a-15(b) under the Exchange Act, and has concluded that our disclosure controls and procedures and our internal control over financial reporting were effective as of December 31, 2025. Our independent registered public accounting firm also audited and concluded that our internal control over financial reporting is effective as of December 31, 2025. However, if we fail to maintain effective internal control over financial reporting in the future,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Nasdaq, regulatory investigations and civil or criminal sanctions. We may also be required to restate our financial statements for prior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 and any uninsured business disruption may have an adverse effect on our results of operations and financial condition.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limited business liability or disruption insurance to cover our operations. Any uninsured occurrence of business disruption may result in our incurring substantial costs and the diversion of resources, which could have an adverse effect on our results of operations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such as earthquakes and health epidemics and other outbreaks, which could significantly disrupt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may be vulnerable to interruption and damage from natural and other types of catastrophes, including earthquakes, fire, floods, hail, windstorms, severe winter weather (including snow, freezing water, ice storms and blizzards), environmental accidents, power loss, communications failures, explosions, man-made events such as terrorist attacks and similar events. Due to their nature, we cannot predict the incidence, timing and severity of catastrophes. If any such catastrophe or extraordinary event occurs in the future, our ability to operate our business could be seriously impaired. Such events could make it difficult or impossible for us to deliver our services and products to our users and could decrease demand for our products. As we do not carry property insurance and significant amounts of time could be required to resume our operations, our financial position and results of operations could be materially and adversely affected in the event of any major catastrophic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business could be materially and adversely affected by the outbreak of pandemics such as influenza A (H1N1), avian influenza, H7N9, severe acute respiratory syndrome (SARS), COVID-19 or other epidemics. Any occurrence of these pandemic diseases or other adverse public health developments in China or elsewhere could severely disrupt our staffing or the staffing of our business partners, including our advertisers, and otherwise reduce the activity levels of our work force and the work force of our business partners, causing a material and adverse effect on our business operations. Furthermore, China may experience lower domestic consumption, higher unemployment, severe disruptions to exporting of goods to other countries and greater economic uncertainty, which may impact our business in a materially negative way. In addition, our customers and users will need time to recover from the economic effects of the pandemics even after business conditions begin to return to normal. Consequently, any occurrence of pandemics may materially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PRC laws and regulations place certain restrictions on foreign ownership of companies that engage in internet businesses, including the provision of online games and online advertising services. For example, foreign investors’ equity interests in value-added telecommunication service providers, other than e-commerce service providers, may not exceed 50%. In addition, foreign investors are prohibited from investing in or operating entities engaged in, among others, internet cultural operating service and online transmission of audio-visual programs service. We are a Cayman Islands exempted company and Giganology Shenzhen and Xunlei Computer, both being our PRC subsidiaries, are considered foreign-invested enterprises. Accordingly, neither of these two PRC subsidiaries is eligible to provide value-added telecommunication services and the aforementioned internet related services in China. As a result, we conduct our operations primarily in China principally through contractual arrangements among Giganology Shenzhen and Shenzhen Xunlei and its shareholders. Shenzhen Xunlei or its subsidiaries hold the licenses and permits necessary to conduct our cloud-based acceleration, online advertising, online games and related businesses in China, and Shenzhen Xunlei has established various operating subsidiaries that conduct a majority of our operations in China. In addition, we completed the acquisition of Shanghai Kuanghui, which operates Hupu, through Shenzhen Suqu. Our contractual arrangements with the VIEs and their shareholders enable us to direct the activities that most significantly affect the economic performance of the VIEs, and their operating subsidiaries and hence we consolidate their financial results in accordance with U.S. GAAP. For a detailed discussion of these contractual arrangements, see “Item 4. Information on the Company—C. Organizational Structure.”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assure you, however, that we will be able to enforce these contracts. Although we have been advised by Kewei Law Firm, our PRC legal counsel, that each contract under these contractual arrangements with the variable interest entities and their shareholders is valid, binding and enforceable under current PRC laws and regulations, we cannot assure you that the PRC government would agree that these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government authorities have broad discretion in interpreting these laws and regulations. If the PRC government determines that we do not comply with applicable laws and regulations, it could revoke our business and operating licenses, require us to discontinue or restrict our operations, impose fines, restrict our right to collect revenues, block our website, require us to restructure our operations, impose additional conditions or requirements with which we may not be able to comply, or take other regulatory or enforcement actions against us that could be harmful to our business. The imposition of any of these penalties would result in a material and adverse effect on our ability to conduct our business. In addition, if the PRC government deems that our contractual arrangements with the variable interest entities do not comply with PRC regulatory restrictions on foreign investment in relevant industries, or if these regulations or the interpretation of existing regulations change in the future, we could be subject to severe penalties or be forced to relinquish our interests in those operations. We may also not be able to repay the notes and other indebtedness, and our shares may decline in value or become worthless, if we are unable to assert our contractual rights over the assets of our PRC subsidiaries and the variable interest entities, which accounted for 72.7% of our revenues in 2025. Our holding company in the Cayman Islands,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group.</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variable interest entities in China and their shareholders for our operations, which may not be as effective as ownership in providing operational control over the variable interest entities and their subsidiaries.</w:t>
      </w:r>
    </w:p>
    <w:p>
      <w:pPr>
        <w:spacing w:after="0" w:line="159"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Since PRC laws restrict foreign equity ownership in companies engaged in internet business in China, we rely on contractual arrangements with variable interest entities and their shareholders to operate our business in China. If we had equity ownership of variable interest entities, we would be able to exercise our rights as a shareholder to effect changes in the board of directors of such variable interest entities, which in turn could effect changes at the management level, subject to any applicable fiduciary obligations. However, under the current contractual arrangements, we rely on variable interest entities and their shareholders’ performance of their contractual obligations to exercise such rights. In addition, our operating contract with Shenzhen Xunlei has an initial term of ten years and an extended term of ten years from 2016. The operating contract will be automatically extended for an additional 10-year period subject to Giganology Shenzhen’s unilateral termination right. Our operating contract with Shenzhen Suqu, which commenced in 2022 with an initial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will also be automatically renewed for successive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periods unless unilaterally terminated by Shenzhen Computer. In general, none of the variable interest entities and their shareholders may terminate the contracts prior to the expiration dates. However, the shareholders of variable interest entities may not act in the best interests of our company or may not perform their obligations under these contracts, including the obligation to renew these contracts when their initial contract terms expire. Such risks exist throughout the period in which we intend to operate our business through the contractual arrangements with variable interest entities. We may replace the shareholders of variable interest entities at any time pursuant to our contractual arrangements with variable interest entities and their shareholders. However, if any dispute relating to these contracts remains unresolved, we will have to enforce our rights under these contracts through the operations of PRC law and courts and therefore will be subject to uncertainties in the PRC legal system. See “—Any failure by variable interest entities or their shareholders to perform their obligations under our contractual arrangements with them may have a material adverse effect on our business” and “Item 4. Information on the Company—C. Organizational Structure.” Therefore, these contractual arrangements may not be as effective as ownership in providing us with control over variable interest entities.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variable interest entities or their shareholders to perform their obligations under our contractual arrangements with them may have a material adverse effect on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variable interest entities or their shareholders may fail to take certain actions required for our business or follow our instructions despite their contractual obligations to do so. If they fail to perform their obligations under their respective agreements with us, we may have to rely on legal remedies under PRC law, including seeking specific performance or injunctive relief, which may not be effective. For example, under the equity pledge agreement among Giganology Shenzhen and the shareholders of Shenzhen Xunlei, as amended, the shareholders of Shenzhen Xunlei have pledged all of their equity interests in Shenzhen Xunlei to Giganology Shenzhen to guarantee Shenzhen Xunlei and its shareholders’ performance of their respective obligations under the related contractual arrangements. In addition, the shareholders of Shenzhen Xunlei have completed the registration of equity pledge under the equity pledge agreement with the competent governmental authority. Pursuant to the contractual arrangements, we have the right to replace any shareholders of Shenzhen Xunlei at any time. For example, if any of the shareholders of Shenzhen Xunlei refuses or fails to perform his or her obligations under the contractual arrangements due to his or her significant equity interest in Shenzhen Xunlei and his or her relatively smaller percentage of equity interest in our company, we can enforce the contractual arrangements and transfer his or her equity interests to another appointee of Giganology Shenzhen. However, we cannot assure you that such transfer can be implemented successfully or without significant costs. As a result, we might not be able to have effective control over the variable interest entity in the future.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the exercise of call options under the equity interest disposal agreement, the intellectual properties purchase option agreement and certain other contractual arrangements will be subject to the review and approval of competent governmental authorities and incur additional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As a result, uncertainties in the PRC legal system could limit our ability to enforce these contractual arrangements, which may make it difficult to exert effective control over the variable interest entities and their subsidiaries, and our ability to conduct our business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the variable interest entities may result in adverse tax consequences to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applicable PRC tax laws and regulations, arrangements and transactions among related parties may be subject to audit or scrutiny by the PRC tax authorities within ten years after the taxable year when the arrangements or transactions are conducted. See “Item 4. Information on the Company—B. Business Overview—Regulation—PRC regulation on tax—PRC enterprise income tax.” We could face material and adverse tax consequences if the PRC tax authorities were to determine that any contractual arrangements among our WFOEs, the VIEs and their respective shareholders, as well as the intellectual property framework agreement between Xunlei Computer and Shenzhen Xunlei and the exclusive business cooperation agreement between Xunlei Computer and Shenzhen Suqu, were not entered into on an arm’s-length basis and therefore constituted unfavorable transfer pricing arrangements. Unfavorable transfer pricing arrangements could, among other things, result in an upward adjustment on taxation, and the PRC tax authorities may impose interest on late payments on the variable interest entities, for the adjusted but unpaid taxes. Our results of operations may be materially and adversely affected if the variable interest entities’ tax liabilities increase significantly or if it is required to pay interest on late payments.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variable interest entities may have potential conflicts of interest with us, which may materially and adversely affect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Sean Shenglong Zou, Hao Cheng, Fang Wang, Jianming Shi and Guangzhou Shulian Information Investment Co., Ltd. are shareholders of Shenzhen Xunlei and Kening Wu and Xiaosong Li are the indirect shareholders of Shenzhen Suqu. We provide no incentives to the shareholders of the VIEs for the purpose of encouraging them to act in our best interests in their capacity as the shareholders of the VIEs. We may replace the shareholders of the VIEs at any time pursuant to the currently effective equity option agreements between us and these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when conflicts arise, the shareholders of the VIEs will act in the best interests of our company or that conflicts will be resolved in our favor. If we cannot resolve any conflicts of interest or disputes between us and the shareholders of the VIEs, we would have to rely on legal proceedings, which may be expensive, time-consuming and disruptive to our operations. There is also substantial uncertainty as to the outcome of any such legal proceedings.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principally on dividends and other distributions on equity paid by our PRC subsidiaries to fund any cash and financing requirements we may have. Any limitation on the ability of Giganology Shenzhen and Xunlei Computer to pay dividends to us could have a material adverse effect on our ability to conduct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holding company and we may rely principally on dividends and other distributions on equity paid by our wholly-owned PRC subsidiaries, including Giganology Shenzhen and Xunlei Computer, for our cash and financing requirements, including the funds necessary to pay dividends and other cash distributions to our shareholders and service any debt we may incur. If Giganology Shenzhen incurs debt on its own behalf in the future, the instruments governing the debt may restrict its ability to pay dividends or make other distributions to us. In addition, the PRC tax authorities may require us to adjust our taxable income under the contractual arrangements which our WFOEs currently have in place with the variable interest entities, as well as the intellectual property framework agreement between Xunlei Computer and Shenzhen Xunlei, and the exclusive business cooperation agreement between Xunlei Computer and Shenzhen Suqu, in a manner that would materially and adversely affect their ability to pay dividends and other distributions to us. As of December 31, 2025, we had cash and cash equivalents of approximately RMB613.6 million (US$87.3 million) and US$3.3 million located within the PRC, of which RMB269.9 million (US$38.4 million) and US$0.6 million are held by the variable interest entities and their subsidiaries. The transfer of all the cash and cash equivalents is subject to PRC government’s restrictions on currency conversion.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PRC laws and regulations, Giganology Shenzhen and Xunlei Computer, as wholly foreign-owned enterprises in the PRC, may pay dividends only out of their accumulated after-tax profits as determined in accordance with PRC accounting standards and regulations. In addition, wholly foreign-owned enterprises, such as Giganology Shenzhen and Xunlei Computer, are required to set aside at least 10% of their accumulated after-tax profits each year, if any, to fund certain statutory reserve funds, until the aggregate amount of such a fund reaches 50% of their respective registered capital. At their discretion, wholly foreign-owned enterprises may allocate a portion of their after-tax profits based on PRC accounting standards to staff welfare and bonus funds. These reserve funds and staff welfare and bonus funds are not distributable as cash dividends. Any limitation on the ability of Giganology Shenzhen and Xunlei Computer to pay dividends or make other distributions to us could materially and adversely limit our ability to grow, make investments or acquisitions that could be beneficial to our business, pay dividends, or otherwise fund and conduct our business. See also “—Risks Related to Doing Business in China—Our global income may be subject to PRC taxes under the PRC Enterprise Income Tax Law, which may have a material adverse effect on our results of operations.”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 control of currency conversion may restrict or prevent us from making loans to our PRC subsidiaries and the variable interest entities and their subsidiaries or making additional capital contributions to our PRC subsidiaries, which may materially and adversely affect our liquidity and our ability to fund and expand our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 make additional capital contributions to our PRC subsidiaries, (ii) establish new PRC subsidiaries and make capital contributions to these new PRC subsidiaries, (iii) make loans to our PRC subsidiaries or the variable interest entities and their subsidiaries, or (iv) acquire offshore entities with business operations in China in an offshore transaction. However, most of these uses are subject to PRC regulations and approvals. For example:</w:t>
      </w:r>
    </w:p>
    <w:p>
      <w:pPr>
        <w:spacing w:after="0" w:line="180" w:lineRule="exact"/>
        <w:rPr>
          <w:sz w:val="20"/>
          <w:szCs w:val="20"/>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by us to our PRC subsidiaries, which are foreign-invested enterprises, to finance their respective activities cannot exceed statutory limits and must be registered with SAFE or its local branches; and</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by us to the variable interest entities, which are domestic PRC entities, may not exceed the statutory limit, and any medium or long-term loan we extend to the variable interest entities must be recorded and registered by the National Development and Reform Commission, or the NDRC, and SAFE or its local branches.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30, 2015, SAFE issued the Circular on Reform of the Administrative Rules of the Payment and Settlement of Foreign Exchange Capital of Foreign Invested Enterprises, or the SAFE Circular 19, which became effective on June 1, 2015. SAFE Circular 19 adopts a concept of “discretionary conversion,” which is defined as the conversion of a foreign-invested enterprise’s foreign currency registered capital in accordance with the enterprise’s actual business needs. No review of the purpose of the funds is required at the time of conversion under SAFE Circular 19. However, use of any Renminbi funds converted from its registered capital shall be based on actual transactions. In addition, equity investments using converted registered capital are no longer prohibited under SAFE Circular 19.</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June 9, 2016, SAFE issued </w:t>
      </w:r>
      <w:r>
        <w:rPr>
          <w:rFonts w:ascii="Times New Roman" w:cs="Times New Roman" w:eastAsia="Times New Roman" w:hAnsi="Times New Roman"/>
          <w:sz w:val="18"/>
          <w:szCs w:val="18"/>
          <w:i w:val="1"/>
          <w:iCs w:val="1"/>
          <w:color w:val="auto"/>
        </w:rPr>
        <w:t>the Circular on Reforming and Regulating Policies on the Control over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of Capital Accounts</w:t>
      </w:r>
      <w:r>
        <w:rPr>
          <w:rFonts w:ascii="Times New Roman" w:cs="Times New Roman" w:eastAsia="Times New Roman" w:hAnsi="Times New Roman"/>
          <w:sz w:val="18"/>
          <w:szCs w:val="18"/>
          <w:color w:val="auto"/>
        </w:rPr>
        <w:t>, or SAFE Circular 16, which became effective on the same day. Pursuant to SAFE Circular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enterprises registered in China may also convert their foreign debts from foreign currency to Renminbi in their own discretion. SAFE Circular 16 provides an integrated standard for the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or used for construction and purchase of non-self-used real estate (excluding real estate enterprises) or unless otherwise expressly provided in law, directly or indirectly used in securities investment or other financial management excluding the bank capital preservation products.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SAFE Circular 19 and SAFE Circular 16 allow for the use of Renminbi converted from the foreign currency denominated capital for equity investments in the PRC, the restrictions on Renminbi capital of foreign-invested enterprises will continue to apply as to foreign-invested enterprises’ use of the converted Renminbi for purposes beyond the business scope, for the loans to non-associated companies or issuing inter-company Renminbi loans. Violations of these two circulars could result in administrative penalties. SAFE Circular 19 and SAFE Circular 16 may significantly limit our ability to transfer any foreign currency we hold, including the net proceeds from our equity offering and notes offering, to our PRC subsidiaries, which may adversely affect our liquidity and our ability to fund and expand our business in China.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23, 2019, SAFE issued the Notice of the State Administration of Foreign Exchange on Further Promoting the Facilitation of Cross-border Trade and Investment, which allows non-investment foreign-invested enterprises to use their capital funds to make equity investments in China provided that such investments do not violate the “negative list” and that the target investment projects are genuine and in compliance with PRC laws. In light of the various requirements imposed by PRC regulations on loans to and direct investment in PRC entities by offshore holding companies, we cannot assure you that we will be able to complete the necessary government registrations or obtain necessary government approvals on a timely basis, if at all, with respect to future loans by us to our PRC subsidiaries or with respect to future capital contributions by us to our PRC subsidiaries. If we fail to complete such registrations or obtain such approvals, our ability to use the proceeds from our equity offering and notes offering and to capitalize or otherwise fund our PRC operations may be negatively affected, which could materially and adversely affect our liquidity and our ability to fund and expand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variable interest entities and their subsidiaries that are important to the operation of our business if any of such entities goes bankrupt or becomes subject to a dissolution or liquidation proceeding.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variable interest entities, the variable interest entities and their subsidiaries hold certain assets that are important to the operation of our business, including patents for the proprietary technology and related domain names and trademarks. If any of the variable interest entities or their subsidiaries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variable interest entities and their subsidiaries may not, in any manner, sell, transfer, mortgage or dispose of their assets or legal or beneficial interests in the business without our prior consent. If any of the variable interest entities undergoes a voluntary or involuntary liquidation proceeding, the unrelated third-party creditors may claim rights to some or all of these assets, thereby hindering our ability to operate our business, which could materially and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enacted PRC Foreign Investment Law and how it may impact the viability of our current corporate structure, corporate governance and business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enacted the PRC Foreign Investment Law, which became effective on January 1, 2020. The PRC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exist in relation to its interpretation and implementation. For instance, under the PRC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majority of our assets and operations are located in China. Accordingly, our business, financial condition, results of operations and prospects may be influenced to a significant degree by political, economic and social conditions in China generally and by the economic conditions in China as a whole. The Chinese government affects China’s economic growth through allocating resources, regulating payment of foreign currency-denominated obligations, setting monetary policy and providing preferential treatment to particular industries or companies, such as those qualified to operate in free trade zones designated in certain major cities in China.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regulation over capital investments or changes in tax regulations. Any prolonged slowdown in the Chinese economy may reduce the demand for our products and services and materially and adversely affect our business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have adversely affected our business and may continue to adversely affect our business, and we may be liable for the digital media content on our platform.</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PRC laws and regulations, internet content providers, or ICPs, like us, are prohibited from posting or displaying over the internet or wireless networks content that, among other things, violates PRC laws and regulations. If an ICP finds that prohibited content is transmitted on its website or stored in its system, it must terminate the transmission of such information or delete such information immediately, keep records and report to competent authorities. Failure to comply with these requirements could lead to the revocation of the Value-added Telecommunication Services License, which is required for our ICP services, and other required licenses and the closure of the offending websites. Cloud network operators or website operators may also be held liable for prohibited content displayed on, retrieved from or linked to such network or website. We monitor digital media content on our platform and periodically review and inspect whether any content violates PRC laws and regulations. However, we cannot assure you that we will always be able to identify and remove in a timely manner all digital media content on our platform that violates PRC laws and regulations. If we fail to timely remove relevant content, we may be subject to legal liabilities. In addition, our efforts to constantly monitor content in order to comply with these requirements could negatively impact user experience and lead to a decline in the number of users.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Chinese government has intensified its efforts to remove inappropriate content disseminated over the internet and wireless networks, and our efforts to monitor content on our platform and website led to a decline in the number of subscribers in the past few years. In August 2017, the Cyberspace Administration of China promulgated the </w:t>
      </w:r>
      <w:r>
        <w:rPr>
          <w:rFonts w:ascii="Times New Roman" w:cs="Times New Roman" w:eastAsia="Times New Roman" w:hAnsi="Times New Roman"/>
          <w:sz w:val="18"/>
          <w:szCs w:val="18"/>
          <w:i w:val="1"/>
          <w:iCs w:val="1"/>
          <w:color w:val="auto"/>
        </w:rPr>
        <w:t>Provisions on the Administration of Internet Comments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Posting Services</w:t>
      </w:r>
      <w:r>
        <w:rPr>
          <w:rFonts w:ascii="Times New Roman" w:cs="Times New Roman" w:eastAsia="Times New Roman" w:hAnsi="Times New Roman"/>
          <w:sz w:val="18"/>
          <w:szCs w:val="18"/>
          <w:color w:val="auto"/>
        </w:rPr>
        <w:t>, most recently amended on December 15, 2022, and</w:t>
      </w:r>
      <w:r>
        <w:rPr>
          <w:rFonts w:ascii="Times New Roman" w:cs="Times New Roman" w:eastAsia="Times New Roman" w:hAnsi="Times New Roman"/>
          <w:sz w:val="18"/>
          <w:szCs w:val="18"/>
          <w:i w:val="1"/>
          <w:iCs w:val="1"/>
          <w:color w:val="auto"/>
        </w:rPr>
        <w:t xml:space="preserve"> the Provisions on the Administration of Internet Forum and Community Services, </w:t>
      </w:r>
      <w:r>
        <w:rPr>
          <w:rFonts w:ascii="Times New Roman" w:cs="Times New Roman" w:eastAsia="Times New Roman" w:hAnsi="Times New Roman"/>
          <w:sz w:val="18"/>
          <w:szCs w:val="18"/>
          <w:color w:val="auto"/>
        </w:rPr>
        <w:t>both require service providers to establish information review and inspection mechanism. In December 2018,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Cyberspace Administration of China launched a campaign against illegal activities and inappropriate content on mobile apps and undertook restrictive measures against thousands of mobile apps, including suspension of mobile app operations for an indefinite period of time or permanently shutting down the mobile app operations. In December 2019, the Cyberspace Administration of China promulgated </w:t>
      </w:r>
      <w:r>
        <w:rPr>
          <w:rFonts w:ascii="Times New Roman" w:cs="Times New Roman" w:eastAsia="Times New Roman" w:hAnsi="Times New Roman"/>
          <w:sz w:val="18"/>
          <w:szCs w:val="18"/>
          <w:i w:val="1"/>
          <w:iCs w:val="1"/>
          <w:color w:val="auto"/>
        </w:rPr>
        <w:t>the Regulations on the Ecological Governance of Network Information Content,</w:t>
      </w:r>
      <w:r>
        <w:rPr>
          <w:rFonts w:ascii="Times New Roman" w:cs="Times New Roman" w:eastAsia="Times New Roman" w:hAnsi="Times New Roman"/>
          <w:sz w:val="18"/>
          <w:szCs w:val="18"/>
          <w:color w:val="auto"/>
        </w:rPr>
        <w:t xml:space="preserve"> which provides that network information content service platforms should fulfill the main responsibility of content management and establish an ecological governance mechanism for network information, and improve their systems for user registration, account management, information publishing review, emergency response, etc. In October 2021, the Cyberspace Administration of China issued </w:t>
      </w:r>
      <w:r>
        <w:rPr>
          <w:rFonts w:ascii="Times New Roman" w:cs="Times New Roman" w:eastAsia="Times New Roman" w:hAnsi="Times New Roman"/>
          <w:sz w:val="18"/>
          <w:szCs w:val="18"/>
          <w:i w:val="1"/>
          <w:iCs w:val="1"/>
          <w:color w:val="auto"/>
        </w:rPr>
        <w:t>the Notice on Further Strengthening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Regulation on Online Information of Entertainment Celebrities, </w:t>
      </w:r>
      <w:r>
        <w:rPr>
          <w:rFonts w:ascii="Times New Roman" w:cs="Times New Roman" w:eastAsia="Times New Roman" w:hAnsi="Times New Roman"/>
          <w:sz w:val="18"/>
          <w:szCs w:val="18"/>
          <w:color w:val="auto"/>
        </w:rPr>
        <w:t>which requires internet platforms to, among others, monitor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posted by celebrities online so as to timely identify hot topics that could involve illegal or undesirable actions and to promptly report to the competent authorities in such event. We regularly conduct internal compliance investigation to ensure that the content transmitted by our products is in compliance with the standards set out by the authorities. We had experienced declines in the number of users and subscribers in the past in connection with our efforts to comply with these PRC rules and regulations and we cannot assure you that it will not happen again in the future.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May 2025, we completed the closing of the acquisition of Shanghai Kuanghui Network Technology Co., Ltd., or Shanghai Kuanghui, which operated Hupu, a leading sports media and data platform in China, for a total cash consideration of RMB500 million. Hupu is a community platform, and accordingly, we have been responsible for the review and management of the content posted by users on it after the acquisition. Any failure to fulfill such responsibility could subject us to penalties, including fines, suspension of business and revocation of the relevant licenses.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the SEC, which is in charge of protecting investors and overseeing companies whose securities are publicly traded, and various regulatory authorities in China and the Cayman Islands, as well as evolving regulatory measures under applicable laws and regulations. The governance, operation and management of our corporate entities in the PRC are governed by the PRC Company Law, which was promulgated by the Standing Committee of the National People’s Congress in 1993 and last amended on December 29, 2023. The amended PRC Company Law has taken effect from July 1, 2024 and introduces new requirements on capital contributions, corporate governance, liabilities of directors, supervisors and senior executives, protection of minority shareholders, share transfer and liquidation process, among others. Our efforts to comply with changing laws and regulations have resulted in and are likely to continue to result in, increased general and administrative expenses and a diversion of management’s time and attention from revenue-generating activities to compliance activities.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comply with these regulations and any subsequent changes, we may be subject to penalty and our business may be harmed.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oversight and discretion over our business operation could result in a material adverse change in our operations and the value of our ADSs.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conduct our business primarily through our PRC subsidiaries and the variable interest entities and their subsidiaries in China. Our operations in China are governed by PRC laws and regulations. The PRC government has oversight and discretion over the conduct of our business, and it may influence our operations, which could result in a material adverse change in our operation and the value of our common shares and ADSs. For example, we submitted the security assessment report regarding Hiya Voice on the National Internet Security Service Platform in June 2022 pursuant to the </w:t>
      </w:r>
      <w:r>
        <w:rPr>
          <w:rFonts w:ascii="Times New Roman" w:cs="Times New Roman" w:eastAsia="Times New Roman" w:hAnsi="Times New Roman"/>
          <w:sz w:val="18"/>
          <w:szCs w:val="18"/>
          <w:i w:val="1"/>
          <w:iCs w:val="1"/>
          <w:color w:val="auto"/>
        </w:rPr>
        <w:t>Provisions for the Security Assessment of Internet Information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Having Public Opinion Properties or Social Mobilization Capacity </w:t>
      </w:r>
      <w:r>
        <w:rPr>
          <w:rFonts w:ascii="Times New Roman" w:cs="Times New Roman" w:eastAsia="Times New Roman" w:hAnsi="Times New Roman"/>
          <w:sz w:val="18"/>
          <w:szCs w:val="18"/>
          <w:color w:val="auto"/>
        </w:rPr>
        <w:t>and received the approval after the onsite inspection conducted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competent authority. However, in September 2022, we were informed by the app store operator that Hiya Voice had been removed from the app store. The removal was due to the implementation of more stringent security assessment requirements under these provisions, as determined by the Cyberspace Administration of China. Since May 2023, we have been downsizing our domestic audio live-streaming operations due to lower gross margin of such business and the rapidly evolving and challenging industry environment, including the terminations of the operations of Hiya Voice and Xunlei Live in June 2023 and October 2024, respectively. We have ceased providing both audio and video live-streaming services in China, while we continue to provide audio live-streaming services in overseas markets. The complexities and constantly evolving laws and the uncertainties of their application in practice by PRC government have resulted in non-compliance risk and the additional costs for our compliance activities, and we cannot assure you whether we will be subject to any potential liability.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the PRC government has promulgated rules and regulations to exert more oversight and control over offerings that are conducted overseas and foreign investment in China-based issuers. See “—The approval of and the filing with the CSRC or other PRC government authorities may be required in connection with our future offshore offerings (if any) under PRC law, and, if required, we cannot predict whether or for how long we will be able to obtain such approval.” for more details.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it is uncertain whether we will be able to obtain such approvals or complete the filing or other procedures as required by these regulations in a timely manner, or at all, and such approvals may be rescinded even if obtained. Any such circumstance could result in administrative penalties, such as warnings, rectification, confiscation of illegal gains, suspension of business, revocation of license or fines on us, significantly limit or completely hinder our ability to continue to offer securities to investors or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could adversely affect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variable interest entities and their subsidiaries in China. Since the PRC legal system continues to evolve rapidly and the PRC governmental authorities may continue to promulgate new laws and regulations regulating our business, we cannot assure you that our business operations would not be deemed to violate any existing or future PRC laws or regulations, which in turn may limit or restrict us, and could materially and adversely affect our business and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As the PRC legal system is a civil law system based on written statutes, prior court decisions under the civil law system may be cited for reference but have limited precedential value. The PRC judicial and administrative authorities have discretion in interpreting and implementing statutory and contractual terms, and therefore it may be difficult to predict the outcome of a judicial or administrative proceeding. These uncertainties may adversely affect our contractual, property and procedural rights, which could adversely affect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oversight over the conduct of our business and it has promulgated rules and regulations to exert more oversight over offerings that are conducted overseas and/or foreign investment in China-based issuers. See “—The PRC government’s oversight and discretion over our business operation could result in a material adverse change in our operations and the value of our ADSs” and “—The approval of and the filing with the CSRC or other PRC government authorities may be required in connection with our future offshore offerings (if any) under PRC law, and, if required, we cannot predict whether or for how long we will be able to obtain such approval.” Any such action could significantly limit or completely hinder our ability to offer or continue to offer securities to investors and cause the value of such securities to significantly decline or be worthless. In addition, any administrative and court proceedings in China may be protracted, resulting in substantial costs and diversion of resources and management’s attention.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regulations of internet-related business and companies.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it may be difficult to determine what actions or omissions may be deemed to be in violations of applicable laws and regulations. Issues, risks and uncertainties relating to PRC regulation of the internet business include, but are not limited to, the following:</w:t>
      </w:r>
    </w:p>
    <w:p>
      <w:pPr>
        <w:spacing w:after="0" w:line="183" w:lineRule="exact"/>
        <w:rPr>
          <w:sz w:val="20"/>
          <w:szCs w:val="20"/>
          <w:color w:val="auto"/>
        </w:rPr>
      </w:pPr>
    </w:p>
    <w:p>
      <w:pPr>
        <w:jc w:val="both"/>
        <w:ind w:left="1000" w:hanging="317"/>
        <w:spacing w:after="0" w:line="25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relating to the regulation of the internet business in China, including evolving licensing practices and the requirement for real-name registrations. This means that permits, licenses or operations of our company may be subject to challenge, or we may fail to obtain permits or licenses that may be deemed necessary for our operations or we may not be able to obtain or renew certain permits or licenses. If we fail to obtain or maintain any of these required licenses or approvals, we may be subject to various penalties, including fines and discontinuation of or restriction on our operations. Any such disruption in our business operations may have a material and adverse effect on our results of operations.</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and regulations may be promulgated that will regulate internet activities, including live-streaming, online games and online advertising businesses. If these new laws and regulations are promulgated, additional licenses may be required for our operations. If our operations do not comply with these new regulations after they become effective, or if we fail to obtain any licenses required under these new laws and regulations, we could be subject to penalties.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For example, in September 2009, the GAPPRFT, together with other governmental authorities, jointly published a notice, or Circular 13, which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Other government agencies with substantial regulatory authority over online game operations and foreign investment entities in China did not join GAPPRFT in issuing Circular 13. While Circular 13 is applicable to us and our online game business on an overall basis, to date, no interpretation of Circular 13 has been issued, and, to our knowledge, has not taken any enforcement action under Circular 13 against any company that relies on contractual arrangements with affiliated entities to operate online games in China. However, the practice of such filings varies at the provincial levels of Radio and Television Administration, which are in charge of such registration. For example, Guangdong Radio and Television Administration, which is in charge of our filing, only accepts register of live audio and video broadcasts of major political, military, economic, social, cultural, and sports activities or events, thus we are no longer required to conduct such filing, based on our inquires with the competent authorities. There is uncertainty as to whether we will be required to complete the registration in the future and we cannot assure you that we will successfully complete the registration in a timely manner, or at all. We cannot assure you that we have fulfilled all regulatory requirements or obtained all the permits or licenses required for conducting our business in China or will be able to fulfill any regulatory requirements or maintain our existing licenses or obtain any new licenses required under any new laws or regulations. There are also risks that we may be found to violate the existing or future laws and regulations given the uncertainty and complexity of China’s regulation of internet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sued by our game players and held liable for losses of virtual assets by such players, which may negatively affect our reputation and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playing online games or participating in other online activities, players acquire and accumulate some virtual assets, such as special equipment and other accessories. Such virtual assets may be important to online game players and have monetary value and, in some cases, are sold for actual money. In practice, virtual assets can be lost for various reasons, often through unauthorized use of the game account of one user by other users and occasionally through data loss caused by a delay of network service, a network crash or hacking activities. Although the PRC Civil Code provides the general principle for protection of personal rights, property rights and other lawful interests of civil subjects, currently, there is no PRC law or regulation specifically governing virtual asset property rights. As a result, there is uncertainty as to the legal owner of virtual assets, whether and how the ownership of virtual assets is protected by law, and whether an operator of online games like us would be liable to game players or other interested parties (whether in contract, tort or otherwise) for loss of such virtual assets. Based on recent PRC court judgments, the courts have typically held online game operators liable for losses of virtual assets by game players, ordered online game operators to return the lost virtual items to game players or pay damages and losses, as well as required the game operators to provide well-developed security systems to protect such virtual assets owned by game players. In the case of a loss of virtual assets, we may be sued by our game players or users and held liable for damages, which may negatively affect our reputation and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PRC regulations to limit the methods that internet companies may apply when using algorithms, and the types of algorithms they may use.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recent years, the PRC government has taken steps to more closely regulate how internet companies use algorithms. For instance, the Cyberspace Administration of China, together with eight other government authorities, jointly issued </w:t>
      </w:r>
      <w:r>
        <w:rPr>
          <w:rFonts w:ascii="Times New Roman" w:cs="Times New Roman" w:eastAsia="Times New Roman" w:hAnsi="Times New Roman"/>
          <w:sz w:val="18"/>
          <w:szCs w:val="18"/>
          <w:i w:val="1"/>
          <w:iCs w:val="1"/>
          <w:color w:val="auto"/>
        </w:rPr>
        <w:t>the Guidelines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Strengthening the Comprehensive Regulation of Algorithms for Internet Information Services </w:t>
      </w:r>
      <w:r>
        <w:rPr>
          <w:rFonts w:ascii="Times New Roman" w:cs="Times New Roman" w:eastAsia="Times New Roman" w:hAnsi="Times New Roman"/>
          <w:sz w:val="18"/>
          <w:szCs w:val="18"/>
          <w:color w:val="auto"/>
        </w:rPr>
        <w:t>on September 17, 2021, which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daily monitoring of data use, application scenarios and effects of algorithms shall be carried out by the regulators, and security assessments of algorithms shall be conducted by the regulators. The guidelines also provide that an algorithm filing system shall be established, and classified security management of algorithms shall be promoted.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Cyberspace Administration of China, the Ministry of Industry and Information Technology, the Ministry of Public Security and the State Administration for Market Regulation jointly promulgated </w:t>
      </w:r>
      <w:r>
        <w:rPr>
          <w:rFonts w:ascii="Times New Roman" w:cs="Times New Roman" w:eastAsia="Times New Roman" w:hAnsi="Times New Roman"/>
          <w:sz w:val="18"/>
          <w:szCs w:val="18"/>
          <w:i w:val="1"/>
          <w:iCs w:val="1"/>
          <w:color w:val="auto"/>
        </w:rPr>
        <w:t>the Administrative Provisions on Algorithm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Recommendations of Internet Information Services </w:t>
      </w:r>
      <w:r>
        <w:rPr>
          <w:rFonts w:ascii="Times New Roman" w:cs="Times New Roman" w:eastAsia="Times New Roman" w:hAnsi="Times New Roman"/>
          <w:sz w:val="18"/>
          <w:szCs w:val="18"/>
          <w:color w:val="auto"/>
        </w:rPr>
        <w:t>on December 31, 2021, effective on March 1, 2022, which provide that algorithms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recommendation service providers are not allowed to use algorithms to register false user accounts, block information or offer excessive recommendations, and that users should be given the option to easily turn off algorithm recommendation services. To comply with the </w:t>
      </w:r>
      <w:r>
        <w:rPr>
          <w:rFonts w:ascii="Times New Roman" w:cs="Times New Roman" w:eastAsia="Times New Roman" w:hAnsi="Times New Roman"/>
          <w:sz w:val="18"/>
          <w:szCs w:val="18"/>
          <w:i w:val="1"/>
          <w:iCs w:val="1"/>
          <w:color w:val="auto"/>
        </w:rPr>
        <w:t>Administrative Provisions on Algorithm Recommendations of Internet Information Services</w:t>
      </w:r>
      <w:r>
        <w:rPr>
          <w:rFonts w:ascii="Times New Roman" w:cs="Times New Roman" w:eastAsia="Times New Roman" w:hAnsi="Times New Roman"/>
          <w:sz w:val="18"/>
          <w:szCs w:val="18"/>
          <w:color w:val="auto"/>
        </w:rPr>
        <w:t>, we may need to further adjust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operations as we may be deemed to be an algorithm recommendation service provider capable of social mobilization or influencing public opinion, and thus are obligated to complete the filing with the internet information service algorithm filing system. In addition, algorithm recommendation service providers are required to publicly disclose the basic principles, purposes, intentions and operating mechanisms of algorithm-related products. In response to this requirement, we have publicly disclosed the operation mechanism on our Xunlei App and provided an option for our users to turn off algorithm-driven recommendation services. However, the impact on our business operations is still substantially uncertain since this rule is relatively new and uncertainties still exist in relation to its interpretation.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may have a material adverse effect on our results of operations and the value of your investment.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Fluctuation in the value of the Renminbi may have a material adverse effect on the value of your investment. The conversion of Renminbi into foreign currencies, including U.S. dollars, is based on rates set by the People’s Bank of China. The Renminbi has fluctuated against the U.S. dollar at times significantly and unpredictably. The value of the Renminbi against the U.S. dollar and other currencies may fluctuate and is affected by changes in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financial statements are expressed in U.S. dollars, and most of our assets, costs and expenses are denominated in Renminbi. A majority of our revenues were denominated in Renminbi. Any significant appreciation or depreciation of the Renminbi may materially and adversely affect our revenues, earnings and financial positions, and the value of, and any dividends payable on, our ADSs in U.S. dollars. For example, to the extent that we need to convert U.S. dollars into Renminbi to pay our operating expenses, appreciation of the Renminbi against the U.S. dollar would have an adverse effect on the amount of Renminbi we would receive from the conversion. Conversely, if we decide to convert our Renminbi into U.S. dollars for the purpose of making payments for dividends on our common shares or ADSs or for other business purposes, appreciation of the U.S. dollar against the Renminbi would have a negative effect on the amount of U.S. dollar available to us. In addition, a significant appreciation or depreciation in the value of the Renminbi relative to U.S. dollars would significantly reduce the U.S. dollar equivalent of our earnings regardless of any underlying change in our business or results of operations, which in turn could adversely affect the price of our ADSs.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control of currency conversion may limit our ability to utilize our revenues effectively and affect the value of your investment.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a majority of our revenues in Renminbi. Under our current corporate structure, our Cayman Islands holding company primarily relies on dividend payments from our wholly-owned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SAFE approval by complying with certain procedural requirements. However, approval from or registration with appropriate government authorities is required where the Renminbi is to be converted into foreign currency and remitted out of China to pay capital expenses such as the repayment of loans denominated in foreign currencies. Specifically, under the existing exchange restrictions, without prior approval of SAFE, cash generated from the operations of our PRC subsidiaries in China may be used to pay dividends by our PRC subsidiaries to our company and pay employees of our PRC subsidiaries who are located outside China in a currency other than the Renminbi. With prior approval from or registration with SAFE, cash generated from the operations of our PRC subsidiaries and affiliated entity may be used to pay off debt in a currency other than the Renminbi owed by our PRC subsidiaries and variable interest entities and their subsidiaries to entities outside China, and make other capital expenditures outside China in a currency other than the Renminbi. If any of the variable interest entities or their subsidiaries liquidates, the proceeds from the liquidation of its assets may be used outside of the PRC or be given to investors who are not PRC nationals. However, we may not be able to do so due to foreign exchange control imposed by the PRC government, which may at its discretion restrict access to foreign currencies for current account transactions in the future. If the foreign exchange control system prevents us from obtaining sufficient foreign currencies to satisfy our foreign currency demand, we may not be able to pay dividends in foreign currencies to our shareholders, including holders of our ADSs.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regulations in the PRC may make it more difficult for us to pursue growth through acquisitions.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 Regulations on Mergers and Acquisitions of Domestic Companies by Foreign Investors</w:t>
      </w:r>
      <w:r>
        <w:rPr>
          <w:rFonts w:ascii="Times New Roman" w:cs="Times New Roman" w:eastAsia="Times New Roman" w:hAnsi="Times New Roman"/>
          <w:sz w:val="18"/>
          <w:szCs w:val="18"/>
          <w:color w:val="auto"/>
        </w:rPr>
        <w:t>, or the M&amp;A Rules,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regulations and rules concerning mergers and acquisitions established additional procedures and requirements that could make merger and acquisition activities by foreign investors more time-consuming and complex. For example, the M&amp;A Rules require that the Ministry of Commerce be notified in advance of any change-of-control transaction in which a foreign investor takes control of a PRC domestic enterprise or a foreign company with substantial PRC operations, if certain thresholds under </w:t>
      </w:r>
      <w:r>
        <w:rPr>
          <w:rFonts w:ascii="Times New Roman" w:cs="Times New Roman" w:eastAsia="Times New Roman" w:hAnsi="Times New Roman"/>
          <w:sz w:val="18"/>
          <w:szCs w:val="18"/>
          <w:i w:val="1"/>
          <w:iCs w:val="1"/>
          <w:color w:val="auto"/>
        </w:rPr>
        <w:t>the Provisions on Thresholds for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Notification of Concentrations of Undertakings</w:t>
      </w:r>
      <w:r>
        <w:rPr>
          <w:rFonts w:ascii="Times New Roman" w:cs="Times New Roman" w:eastAsia="Times New Roman" w:hAnsi="Times New Roman"/>
          <w:sz w:val="18"/>
          <w:szCs w:val="18"/>
          <w:color w:val="auto"/>
        </w:rPr>
        <w:t>, issued by the State Council on August 3, 2008 and amended by the State Council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22, 2024, are triggered. Moreover, the PRC Anti-Monopoly Law, which was promulgated on August 30, 2007 and amended on August 1, 2022, and its implementing rules issued on March 10, 2023 together require that transactions which are deemed concentrations and involve parties with specified turnover thresholds (i.e., during the previous fiscal year, (i) the total global turnover of all operators participating in the transaction exceeds RMB12 billion and at least two of these operators each had a turnover of more than RMB800 million within China, or (ii) the total turnover within China of all the operators participating in the concentration exceeded RMB4 billion, and at least two of these operators each had a turnover of more than RMB800 million within China) must be cleared by the Ministry of Commerce before they can be completed. In addition, according to </w:t>
      </w:r>
      <w:r>
        <w:rPr>
          <w:rFonts w:ascii="Times New Roman" w:cs="Times New Roman" w:eastAsia="Times New Roman" w:hAnsi="Times New Roman"/>
          <w:sz w:val="18"/>
          <w:szCs w:val="18"/>
          <w:i w:val="1"/>
          <w:iCs w:val="1"/>
          <w:color w:val="auto"/>
        </w:rPr>
        <w:t>the Implementing Rules Concerning Security Review on 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Acquisitions by Foreign Investors of Domestic Enterprises </w:t>
      </w:r>
      <w:r>
        <w:rPr>
          <w:rFonts w:ascii="Times New Roman" w:cs="Times New Roman" w:eastAsia="Times New Roman" w:hAnsi="Times New Roman"/>
          <w:sz w:val="18"/>
          <w:szCs w:val="18"/>
          <w:color w:val="auto"/>
        </w:rPr>
        <w:t>issued by the Ministry of Commerce in August 2011, mergers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by foreign investors involved in an industry related to national security are subject to strict review by the Ministry of Commerce. These rules also prohibit any transactions attempting to bypass such security review, including by controlling entities through contractual arrangements. We believe that our business is not in an industry related to national security. However, we cannot preclude the possibility that the Ministry of Commerce or other government agencies may publish interpretations contrary to our understanding or broaden the scope of such security review in the future. Although we have no current definitive plans to make any acquisitions, we may elect to grow our business in the future in part by directly acquiring complementary businesses in China. Complying with the requirements of these regulations to complete such transactions could be time-consuming, and any required approval processes, including obtaining approval from the Ministry of Commerce, may delay or inhibit our ability to complete such transactions.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anti-monopoly and anti-unfair competition laws and regulations may result in governmental investigations or enforcement actions, litigation or claims against us and could have an adverse effect on our business, financial condition and results of operations.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PRC government has adopted a series of anti-monopoly and anti-unfair competition laws and regulations and has enhanced its enforcement of such laws and regulations. The PRC Anti-Monopoly Law and its implementing rules (i) require that where concentration of undertakings reaches the filing threshold stipulated by the State Council, a filing must be made with the anti - monopoly authority before the parties implement the concentration, (ii) prohibit a business operator with a dominant market position from abusing such position, such as by selling commodities at unfairly high prices or buying commodities at unfairly low prices, selling products at prices below cost without any justifiable cause, or refusing to trade with a trading party without any justifiable cause, and (iii) prohibit business operators from entering into monopoly agreements, which refer to agreements that eliminate or restrict competition with competing business operators or transaction counterparties, such as by boycotting transactions, fixing or changing the price of commodities, limiting the output of commodities or fixing the price of commodities for resale to third parties, unless the agreements satisfy certain exemptions under the PRC Anti-Monopoly Law. Furthermore, in February 2021, the Anti-Monopoly Commission of the State Council promulgated the </w:t>
      </w:r>
      <w:r>
        <w:rPr>
          <w:rFonts w:ascii="Times New Roman" w:cs="Times New Roman" w:eastAsia="Times New Roman" w:hAnsi="Times New Roman"/>
          <w:sz w:val="18"/>
          <w:szCs w:val="18"/>
          <w:i w:val="1"/>
          <w:iCs w:val="1"/>
          <w:color w:val="auto"/>
        </w:rPr>
        <w:t>Anti-Monopoly Guidelines for the Internet Platform Economy Sector</w:t>
      </w:r>
      <w:r>
        <w:rPr>
          <w:rFonts w:ascii="Times New Roman" w:cs="Times New Roman" w:eastAsia="Times New Roman" w:hAnsi="Times New Roman"/>
          <w:sz w:val="18"/>
          <w:szCs w:val="18"/>
          <w:color w:val="auto"/>
        </w:rPr>
        <w:t>, which prohibit certain monopolistic acts of internet platforms so as to protect market competition and safeguard the interests of users and undertakings participating in the internet platform economy, including, without limitation, prohibiting platforms with a dominant position from abusing their market dominance. In addition, these guidelines also reinforce antitrust merger review for internet platform related transactions to safeguard market competition. On June 24, 2022, the Standing Committee of the National People’s Congress enacted the new PRC Anti-Monopoly Law with effect from August 1, 2022, which increases the fines for illegal concentration of business operators to no more than ten percent of its last year’s sales revenue if the concentration of business operator has or may have an effect of excluding or limiting competition, or a fine of up to RMB5 million if the concentration of business operator does not have an effect of excluding or limiting competition. It also stipulates that where a concentration of undertakings does not meet the threshold for declaration set by the State Council, but there is evidence that the concentration of undertakings has or may have the effect of excluding or limiting competition, the law enforcement agencies may order the operators to file the concentration of undertakings.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Anti-unfair Competition Law, unfair competition, which refers to the production and operating activities where an operator disrupts the market competition order and damages the legitimate rights and interests of other operators or consumers in violation of the provisions of the PRC Anti-Unfair Competition Law, shall be prohibited. Pursuant to the PRC Anti-unfair Competition Law, operators shall abide by the principle of voluntariness, equality, impartiality and integrity and adhere to laws and business ethics during market transactions. Operators in violation of the PRC Anti-unfair Competition Law may be subject to civil, administrative or criminal liabilities. On June 27, 2025, the Standing Committee of the National People’s Congress adopted an amendment to the Anti-unfair Competition Law with effect from October 15, 2025. On December 9, 2025, the State Administration for Market Regulation adopted an amendment to the Provisions on the Prohibition of Monopoly Agreements with effect from February 1, 2026. In addition, on January 28, 2026, the State Administration for Market Regulation released the Antitrust Compliance Guidelines for Internet Platform Operators which took effect upon release.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anti-monopoly enforcement agencies have strengthened enforcement under the PRC Anti-Monopoly Law in recent years. For example, in April 2021, the State Administration for Market Regulation, the Cyberspace Administration of China and the State Administration of Taxation held an administrative guidance meeting for internet platform enterprises. Many platforms, including 34 enterprises which attended such administrative guidance meeting as representatives of internet platform enterprises, are required to conduct a comprehensive self-inspection and make necessary rectification accordingly. Although we are not in the list of these 34 enterprises, we have been actively conducting necessary self-inspection and rectifications in accordance with such guidance. We cannot guarantee you that we will be able to be in full compliance with applicable rules and regulations at all times.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regulators’ focus on anti-monopoly and anti-unfair competition compliance and enhanced regulation of platform enterprises, our business practice and expansion strategy may be subject to heightened regulatory scrutiny. Any anti - monopoly or anti-unfair competition related lawsuit, regulatory investigations or administrative proceedings initiated against us could also result in constraints on our future investments and acquisitions. As a result, we may be subject to significant difficulties in pursuing our investment and acquisition strategy.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vehicles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SAFE has promulgated several regulations that require PRC residents and PRC corporate entities to register with local branches of SAFE in connection with their direct or indirect offshore investment activities. These regulations apply to our shareholders who are PRC residents and may apply to any offshore acquisitions that we make in the future. SAFE promulgated </w:t>
      </w:r>
      <w:r>
        <w:rPr>
          <w:rFonts w:ascii="Times New Roman" w:cs="Times New Roman" w:eastAsia="Times New Roman" w:hAnsi="Times New Roman"/>
          <w:sz w:val="18"/>
          <w:szCs w:val="18"/>
          <w:i w:val="1"/>
          <w:iCs w:val="1"/>
          <w:color w:val="auto"/>
        </w:rPr>
        <w:t>the Circular on Relevant Issues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Foreign Exchange Control on Domestic Residents’ Offshore Investment and Financing and Roundtrip Investment through Special Purpose Vehicles</w:t>
      </w:r>
      <w:r>
        <w:rPr>
          <w:rFonts w:ascii="Times New Roman" w:cs="Times New Roman" w:eastAsia="Times New Roman" w:hAnsi="Times New Roman"/>
          <w:sz w:val="18"/>
          <w:szCs w:val="18"/>
          <w:color w:val="auto"/>
        </w:rPr>
        <w:t>, or SAFE Circular No. 37, on July 4, 2014, which requires PRC residents to register with local branches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No. 37 as a “special purpose vehicle.” The term “control” under SAFE Circular No.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No.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events. If the shareholders of an offshore holding company who are PRC residents do not complete their registration with the local SAFE branches, the PRC subsidiaries of the offshore holding company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amendment requirements described above could result in liability under PRC law for evasion of applicable foreign exchange restrictions. In addition, on February 13, 2015, SAFE issued </w:t>
      </w:r>
      <w:r>
        <w:rPr>
          <w:rFonts w:ascii="Times New Roman" w:cs="Times New Roman" w:eastAsia="Times New Roman" w:hAnsi="Times New Roman"/>
          <w:sz w:val="18"/>
          <w:szCs w:val="18"/>
          <w:i w:val="1"/>
          <w:iCs w:val="1"/>
          <w:color w:val="auto"/>
        </w:rPr>
        <w:t>the Circular of the State Administration of Foreign Exchange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Simplifying and Improving the Policies Concerning Foreign Exchange Control on Direct Investment</w:t>
      </w:r>
      <w:r>
        <w:rPr>
          <w:rFonts w:ascii="Times New Roman" w:cs="Times New Roman" w:eastAsia="Times New Roman" w:hAnsi="Times New Roman"/>
          <w:sz w:val="18"/>
          <w:szCs w:val="18"/>
          <w:color w:val="auto"/>
        </w:rPr>
        <w:t>, which took effect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2015. This circular delegates to the qualified banks the authority to register all PRC residents’ investment in “special purpose vehicle” pursuant to SAFE Circular No. 37, except that those PRC residents who have failed to comply with SAFE Circular No. 37 may continue to fall within the jurisdiction of the local SAFE branches and must continue to make their supplementary registration applications with such local SAFE branches.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requested PRC residents holding direct or indirect interest in our company to our knowledge to make the necessary applications, filings and amendments as required under SAFE regulations. Mr. Sean Shenglong Zou, Mr. Hao Cheng and Ms. Fang Wang have completed the initial registration with the local SAFE branch as required by the SAFE regulations. However, we cannot assure you that these shareholders have completed and will complete all subsequent amendment registrations as required by the SAFE regulations as we do not have control over these shareholders. We may also not be informed of the identities of all the PRC residents holding direct or indirect interest in our company, and we cannot provide any assurances that these PRC residents will comply with our request to make or obtain any applicable registrations or comply with other requirements required by SAFE regulations since we do not have control over these the PRC resident shareholders. The failure or inability of our PRC resident shareholders or our future PRC resident shareholders to make any required registrations or comply with other requirements under SAFE regulations may subject such PRC residents or our PRC subsidiaries to fines and legal sanctions and may also limit our ability to raise additional financing and contribute additional capital into or provide loans to (including using the proceeds from our initial public offering) our PRC subsidiaries, limit our PRC subsidiaries’ ability to pay dividends or otherwise distribute profits to us, or otherwise adversely affect us.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because of the uncertainty over how the SAFE regulations will be interpreted and implemented, we cannot predict how these regulations will affect our business operations or future strategies.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15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December 2006, the People’s Bank of China promulgated </w:t>
      </w:r>
      <w:r>
        <w:rPr>
          <w:rFonts w:ascii="Times New Roman" w:cs="Times New Roman" w:eastAsia="Times New Roman" w:hAnsi="Times New Roman"/>
          <w:sz w:val="18"/>
          <w:szCs w:val="18"/>
          <w:i w:val="1"/>
          <w:iCs w:val="1"/>
          <w:color w:val="auto"/>
        </w:rPr>
        <w:t>the Administrative Measures of Foreign Exchange Matters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Individuals</w:t>
      </w:r>
      <w:r>
        <w:rPr>
          <w:rFonts w:ascii="Times New Roman" w:cs="Times New Roman" w:eastAsia="Times New Roman" w:hAnsi="Times New Roman"/>
          <w:sz w:val="18"/>
          <w:szCs w:val="18"/>
          <w:color w:val="auto"/>
        </w:rPr>
        <w:t>, which set forth the respective requirements for foreign exchange transactions by individuals (both PRC or non-PRC citizens)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either the current account or the capital account. On February 15, 2012, SAFE promulgated </w:t>
      </w:r>
      <w:r>
        <w:rPr>
          <w:rFonts w:ascii="Times New Roman" w:cs="Times New Roman" w:eastAsia="Times New Roman" w:hAnsi="Times New Roman"/>
          <w:sz w:val="18"/>
          <w:szCs w:val="18"/>
          <w:i w:val="1"/>
          <w:iCs w:val="1"/>
          <w:color w:val="auto"/>
        </w:rPr>
        <w:t>the Notices on Issues Concerning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Administration for Domestic Individuals Participating in Stock Incentive Plans of Overseas Publicly-Listed Companies</w:t>
      </w:r>
      <w:r>
        <w:rPr>
          <w:rFonts w:ascii="Times New Roman" w:cs="Times New Roman" w:eastAsia="Times New Roman" w:hAnsi="Times New Roman"/>
          <w:sz w:val="18"/>
          <w:szCs w:val="18"/>
          <w:color w:val="auto"/>
        </w:rPr>
        <w:t>. Under these notices and other rules and regulations, PRC residents who participate in stock incentive plan in an overseas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publicly-listed company are required to register with SAFE or its local branches and complete certain other procedures. Participants of a stock incentive plan who are PRC residents must retain a qualified PRC agent, which could be a PRC subsidiary of such overseas publicly listed company or another qualified institution selected by such PRC subsidiary, to conduct the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We and our PRC employees who have been granted stock options are subject to these regulations. Failure by us or our PRC stock option holders to comply with the SAFE regulations may subject us or these PRC residents to fines and legal sanctions and may also limit our ability to contribute additional capital into our PRC subsidiaries, limit our PRC subsidiaries’ ability to distribute dividends to us, or otherwise materially adversely affect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w:t>
      </w:r>
    </w:p>
    <w:p>
      <w:pPr>
        <w:spacing w:after="0" w:line="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State Administration of Taxation has issued several rules and notices to tighten its scrutiny over acquisition transactions in recent years, including </w:t>
      </w:r>
      <w:r>
        <w:rPr>
          <w:rFonts w:ascii="Times New Roman" w:cs="Times New Roman" w:eastAsia="Times New Roman" w:hAnsi="Times New Roman"/>
          <w:sz w:val="18"/>
          <w:szCs w:val="18"/>
          <w:i w:val="1"/>
          <w:iCs w:val="1"/>
          <w:color w:val="auto"/>
        </w:rPr>
        <w:t>the Notice on Certain Corporate Income Tax Matters on Indirect Transfer of Properties by Non-PRC 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w:t>
      </w:r>
      <w:r>
        <w:rPr>
          <w:rFonts w:ascii="Times New Roman" w:cs="Times New Roman" w:eastAsia="Times New Roman" w:hAnsi="Times New Roman"/>
          <w:sz w:val="18"/>
          <w:szCs w:val="18"/>
          <w:color w:val="auto"/>
        </w:rPr>
        <w:t>issued in February 2015, or SAT Circular 7. Pursuant to these rules and notices, if a non-PRC resident enterprise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transfers PRC taxable properties, which refer to properties of an establishment or a place in the PRC, real estate properties in the PRC or equity investments in a PRC tax resident enterprise, by disposing of equity interest in an overseas non-public holding company without a reasonable commercial purpose and resulting in the avoidance of PRC enterprise income tax, such indirect transfer should be deemed a direct transfer of PRC taxable properties, and gains derived from such indirect transfer may be subject to the PRC withholding tax at a rate of up to 10%. SAT Circular 7 sets out several factors to be taken into consideration by tax authorities in determining whether an indirect transfer has a reasonable commercial purpose. An indirect transfer satisfying all the following criteria will be deemed to lack reasonable commercial purpose and be taxable under PRC law: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enterprise income tax on the direct transfer of such assets. Nevertheless, the indirect transfer falling into the safe harbor available under SAT Circular 7 may not be subject to PRC tax and the scope of the safe harbor includes qualified group restructuring, public market trading and tax treaty exemptions. On October 17, 2017, the State Administration of Taxation issued the </w:t>
      </w:r>
      <w:r>
        <w:rPr>
          <w:rFonts w:ascii="Times New Roman" w:cs="Times New Roman" w:eastAsia="Times New Roman" w:hAnsi="Times New Roman"/>
          <w:sz w:val="18"/>
          <w:szCs w:val="18"/>
          <w:i w:val="1"/>
          <w:iCs w:val="1"/>
          <w:color w:val="auto"/>
        </w:rPr>
        <w:t>Public Notice on Issues Concerning the Withholding of Non-resident Enterprise Income Tax at Source</w:t>
      </w:r>
      <w:r>
        <w:rPr>
          <w:rFonts w:ascii="Times New Roman" w:cs="Times New Roman" w:eastAsia="Times New Roman" w:hAnsi="Times New Roman"/>
          <w:sz w:val="18"/>
          <w:szCs w:val="18"/>
          <w:color w:val="auto"/>
        </w:rPr>
        <w:t>, or SAT Public Notice 37, which took effect on December 1, 2017. SAT Public Notice 37 also introduced certain key changes to the current withholding regime, such as (i) non-resident enterprise’s withholding obligation for dividend was changed to arise on the date the payment is actually made as opposed to dividend declaration date; and (ii) nonresident enterprise’s obligation to self-report tax within seven days upon withholding agent’s failure to withhold was removed.</w:t>
      </w:r>
    </w:p>
    <w:p>
      <w:pPr>
        <w:spacing w:after="0" w:line="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SAT Circular 7 and SAT Public Notice 37, the entities or individuals obligated to pay the transfer price to the transferor are the withholding agents and must withhold the PRC enterprise income tax from the transfer price. If the withholding agent fails to do so, the transferor should report to and pay the PRC enterprise income tax to the PRC tax authorities. In the event that neither the withholding agent nor the transferor fulfills their obligations under SAT Circular 7 and SAT Public Notice 37, apart from imposing penalties such as late payment interest on the transferor, the tax authority may also hold the withholding agent liable and impose a penalty of 50% to 300% of the unpaid tax on the withholding agent. The penalty imposed on the withholding agent may be reduced or waived if the withholding agent has submitted the required materials in connection with the indirect transfer to the PRC tax authorities in accordance with SAT Circular 7.</w:t>
      </w:r>
    </w:p>
    <w:p>
      <w:pPr>
        <w:spacing w:after="0" w:line="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due to a lack of clear statutory interpretation of these rules and notices, we face uncertainties on the reporting and consequences on future private equity financing transactions, share exchange or other transactions involving the transfer of shares in our company by investors that are non-PRC resident enterprises, or sale or purchase of shares in other non-PRC resident companies or other taxable assets by us. Our Cayman Islands holding company and other non-resident enterprises in our company may be subject to filing obligations or may be taxed if our Cayman Islands holding company and other non-resident enterprises in our company are transferors in such transactions, and may be subject to withholding obligations if our Cayman Islands holding company and other non-resident enterprises in our company are transferees in such transactions. For the transfer of shares in our Cayman Islands holding company by investors that are non-PRC resident enterprises, our PRC subsidiaries may be requested to assist in the filing under the rules and notices. As a result, we may be required to expend valuable resources to comply with these rules and notices or to request the transferors from whom we purchase taxable assets to comply, or to establish that our Cayman Islands holding company and other non-resident enterprises in our company should not be taxed under these rules and notices, which may have a material adverse effect on our financial condition and results of operations. There is no assurance that the tax authorities will not apply the rules and notices to our offshore restructuring transactions where non-PRC resident investors were involved if any of such transactions were determined by the tax authorities to lack reasonable commercial purpose. As a result, we and our non-PRC resident investors may be at risk of being taxed under these rules and notices and may be required to comply with or to establish that we should not be taxed under such rules, which may have a material adverse effect on our financial condition and results of operations or such non-PRC resident investors’ investments in us. We have conducted acquisition transactions in the past and may conduct additional acquisition transactions in the future. We cannot assure you that the PRC tax authorities will not, at their discretion, adjust any capital gains and impose tax return filing obligations on us or require us to provide assistance for the investigation of PRC tax authorities with respect thereto. Heightened scrutiny over acquisition transactions by the PRC tax authorities may have a negative impact on potential acquisitions we may pursue in the future.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or reduction of any of the preferential tax treatments or other government incentives available to us in the PRC, or imposition of any additional PRC taxes could adversely affect our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PRC Enterprise Income Tax Law, the statutory enterprise income tax rate is 25%. Under certain circumstances, preferential tax rates may be applied if an enterprise meets the corresponding standards and qualifications and completes certain procedures. See “Item 5. Operating and Financial Overview and Prospects—A. Operating Results—Taxation” for details of tax benefits applicable to us. Preferential tax treatment and other government incentives granted to the variable interest entities and their subsidiaries are subject to review and may be adjusted or revoked at any time. The discontinuation or reduction of any preferential tax treatment currently available to us and our wholly-owned PRC subsidiaries will cause our effective tax rate to increase, which could have a material adverse effect on our financial condition and results of operations. We cannot assure you that we will be able to maintain our current effective tax rate in the future.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income may be subject to PRC taxes under the PRC Enterprise Income Tax Law, which may have a material adverse effect on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bodies” as “establishments that carry out substantial and overall management and control over the manufacturing and business operations, personnel, accounting, properties, etc. of an enterprise.” On April 22, 2009, the State Administration of Taxation issued a circular, or SAT Circular 82, which provides certain specific criteria for determining whether the “de facto management body” of a PRC-controlled enterprise that is incorporated offshore is located in China. See “Item 4. Information on the Company—B. Business Overview—Regulation—PRC regulation on tax— PRC enterprise income tax.” Although SAT Circular 82 applies only to offshore enterprises controlled by PRC enterprises or PRC enterprise groups and not to those controlled by PRC individuals or foreigners, the determining criteria set forth in the SAT Circular 82 may reflect the general position of the State Administration of Taxation on how the “de facto management body” test should be applied in determining the tax resident status of all offshore enterprises.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SAT Circular 82, an offshore incorporated enterprise controlled by a PRC enterprise or a PRC enterprise group will be regarded as a PRC tax resident by virtue of having its “de facto management body” in China and will be subject to PRC enterprise income tax on its worldwide income only if all of the following conditions set forth in the SAT Circular 82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Xunlei Limited is a company incorporated outside the PRC and is not controlled by a PRC enterprise or PRC enterprise group. As a holding company, certain of Xunlei Limited’s key assets, including a significant amount of cash, are located, and records (including the resolutions of its board of directors and the resolutions of its shareholders) are maintained, outside the PRC. Therefore, we do not believe Xunlei Limited should be treated as a “resident enterprise” for PRC tax purposes if the criteria for “de facto management body” as set forth in the SAT Circular 82 are deemed applicable to us. However, as the tax resident status of an enterprise is subject to determination by the PRC tax authorities and uncertainties remain with respect to the interpretation of the term “de facto management body” as applicable to Xunlei Limited, we may be considered a resident enterprise and may therefore be subject to the enterprise income tax at 25% on our global income. If we are considered a resident enterprise and earn income other than dividends from our PRC subsidiaries, a 25% enterprise income tax on our global income could increase our tax burden and adversely affect our cash flow and profitability. In addition to the uncertainty regarding how the new “resident enterprise” classification may apply, it is also possible that the rules may change in the future, possibly with retroactive effects.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paid by us to our foreign investors and gains on the sale of our ADSs or common shares by our foreign investors may be subject to taxes under PRC tax laws.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regulations issued by the State Council, a 10% PRC withholding tax is applicable to dividends paid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Any gain realized on the transfer of ADSs or common shares by such investors is subject to PRC tax, at a rate of 10% unless otherwise reduced or exempted by relevant tax treaties, if such gain is regarded as income derived from sources within the PRC. If we are deemed a “PRC resident enterprise,” dividends paid on our common shares or ADSs, and any gain realized from the transfer of our common shares or ADSs, may be treated as income derived from sources within the PRC and may as a result be subject to PRC taxation (which in the case of dividends would be withheld at source). It is unclear whether our non-PRC individual investors would be subject to any PRC tax in the event we are deemed a “PRC resident enterprise.” If any PRC tax were to apply to such dividends or gains of non-PRC individual investors, it would generally apply at a rate of 20% (unless a reduced rate is available under an applicable tax treaty). It is also unclear whether, if we are considered a PRC “resident enterprise,” holders of our ADSs or common shares would be able to claim the benefit of income tax treaties or agreements entered into between China and other countries or areas (and we do not expect to withhold at treaty rates if any withholding is required). If dividends payable to our non-PRC investors, or gains from the transfer of our common shares or ADSs by such investors are subject to PRC tax, the value of your investment in our common shares or ADSs may be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the PRC may adversely affect our business and our profitability.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users by increasing prices for our products or services, our profitability and results of operations may be materially and adversely affected.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the employment with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 According to the PRC Social Insurance Law, employees must participate in pension insurance, work-related injury insurance, medical insurance, unemployment insurance and maternity insurance and the employers must, together with their employees or separately, pay the social insurance premiums for such employees.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China Such violation may subject us to labor disputes or government investigations. If we are deemed to have violated labor laws and regulations, we could be required to provide additional compensation to our employees and our business,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2024 and do not expect to be so identified after we file this annual report on Form 20-F for the fiscal year ended December 31, 2025.</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 the filing with the CSRC or other PRC government authorities may be required in connection with our future offshore offerings (if any) under PRC law, and, if required, we cannot predict whether or for how long we will be able to obtain such approval.</w:t>
      </w:r>
    </w:p>
    <w:p>
      <w:pPr>
        <w:spacing w:after="0" w:line="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M&amp;A Rules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our future offshore offerings (if any)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future offshore offerings (if any), or a rescission of such approval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April 13, 2020, the Cyberspace Administration of China, the NDRC and other PRC governmental authorities jointly promulgated </w:t>
      </w:r>
      <w:r>
        <w:rPr>
          <w:rFonts w:ascii="Times New Roman" w:cs="Times New Roman" w:eastAsia="Times New Roman" w:hAnsi="Times New Roman"/>
          <w:sz w:val="18"/>
          <w:szCs w:val="18"/>
          <w:i w:val="1"/>
          <w:iCs w:val="1"/>
          <w:color w:val="auto"/>
        </w:rPr>
        <w:t>the Measures for Cybersecurity Reviews</w:t>
      </w:r>
      <w:r>
        <w:rPr>
          <w:rFonts w:ascii="Times New Roman" w:cs="Times New Roman" w:eastAsia="Times New Roman" w:hAnsi="Times New Roman"/>
          <w:sz w:val="18"/>
          <w:szCs w:val="18"/>
          <w:color w:val="auto"/>
        </w:rPr>
        <w:t xml:space="preserve">, which was amended on December 28, 2021 with effect from February 15, 2022. </w:t>
      </w:r>
      <w:r>
        <w:rPr>
          <w:rFonts w:ascii="Times New Roman" w:cs="Times New Roman" w:eastAsia="Times New Roman" w:hAnsi="Times New Roman"/>
          <w:sz w:val="18"/>
          <w:szCs w:val="18"/>
          <w:i w:val="1"/>
          <w:iCs w:val="1"/>
          <w:color w:val="auto"/>
        </w:rPr>
        <w:t xml:space="preserve">The Measures for Cybersecurity Reviews </w:t>
      </w:r>
      <w:r>
        <w:rPr>
          <w:rFonts w:ascii="Times New Roman" w:cs="Times New Roman" w:eastAsia="Times New Roman" w:hAnsi="Times New Roman"/>
          <w:sz w:val="18"/>
          <w:szCs w:val="18"/>
          <w:color w:val="auto"/>
        </w:rPr>
        <w:t>require that operators of “critical information infrastructure” purchasing internet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or network platform operators carrying out data processing activities, which affect or may affect national security, shall apply with the Cybersecurity Review Office for a cybersecurity review. In addition, a network platform operator holding over one million users’ personal information shall apply with the Cybersecurity Review Office for a cybersecurity review before any public offering and listing on a foreign stock exchange.</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July 6, 2021, the PRC government authorities issued </w:t>
      </w:r>
      <w:r>
        <w:rPr>
          <w:rFonts w:ascii="Times New Roman" w:cs="Times New Roman" w:eastAsia="Times New Roman" w:hAnsi="Times New Roman"/>
          <w:sz w:val="18"/>
          <w:szCs w:val="18"/>
          <w:i w:val="1"/>
          <w:iCs w:val="1"/>
          <w:color w:val="auto"/>
        </w:rPr>
        <w:t>Opinions on Strictly Cracking Down Illegal Securities Activities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Accordance with the Law</w:t>
      </w:r>
      <w:r>
        <w:rPr>
          <w:rFonts w:ascii="Times New Roman" w:cs="Times New Roman" w:eastAsia="Times New Roman" w:hAnsi="Times New Roman"/>
          <w:sz w:val="18"/>
          <w:szCs w:val="18"/>
          <w:color w:val="auto"/>
        </w:rPr>
        <w:t>. These opinions emphasize the need to strengthen the administration over illegal securities activities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supervision on overseas listings by China-based companies and proposed to take effective measures, such as promoting the construction of regulatory systems to deal with the risks and incidents faced by China-based overseas-listed companies. On February 17, 2023, the CSRC issued </w:t>
      </w:r>
      <w:r>
        <w:rPr>
          <w:rFonts w:ascii="Times New Roman" w:cs="Times New Roman" w:eastAsia="Times New Roman" w:hAnsi="Times New Roman"/>
          <w:sz w:val="18"/>
          <w:szCs w:val="18"/>
          <w:i w:val="1"/>
          <w:iCs w:val="1"/>
          <w:color w:val="auto"/>
        </w:rPr>
        <w:t>Trial Administrative Measures of Overseas Securities Offering and Listing by Domestic Companies</w:t>
      </w:r>
      <w:r>
        <w:rPr>
          <w:rFonts w:ascii="Times New Roman" w:cs="Times New Roman" w:eastAsia="Times New Roman" w:hAnsi="Times New Roman"/>
          <w:sz w:val="18"/>
          <w:szCs w:val="18"/>
          <w:color w:val="auto"/>
        </w:rPr>
        <w:t>, which became effective on March 31, 2023, and five supporting guidelines. These measures establish a filing-based regime to regulate overseas offerings and listings by domestic companies. Specifically, an overseas follow-on offering or listing, or other equivalent offering activity, including issuance of convertible notes, exchangeable notes or preferred shares, by a domestic company, whether directly or indirectly, must be filed with the CSRC and comply with the requirements under these measures. The indirect overseas listing of domestic companies refers to companies that conduct business mainly in China but issue shares or other similar rights and seek listing in overseas jurisdictions through their overseas holding companies. See “Item 4. Information on the Company—B. Business Overview—Regulation —PRC regulation on Overseas Listings.” These measures have no retroactive effect and thus are not applicable to our listing and offering prior to their promulgation. However, as these measures are relatively new and there are substantial uncertainties with respect to the filing requirements and overall implementation at this stage. We cannot assure you that, if the conditions are met and any filing or other procedure is required, we would be able to complete such filing or procedure for our future offering or listing, if any, and fully comply with these measures on a timely basis, or at all. Any failure to complete or not being able to complete the requisite filing for our future offering or listing, if any, or any failure or perceived failure by us to comply with the requirements under these measures may result in rectification, warnings or fines against us and could materially hinder our ability to conduct securities offerings.</w:t>
      </w:r>
    </w:p>
    <w:p>
      <w:pPr>
        <w:spacing w:after="0" w:line="1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the CSRC together with other PRC governmental authorities issued the Provisions on Strengthening the Management of Confidentiality and Archives regarding Overseas Securities Offerings and Listings by Domestic Companies, effective March 31, 2023, which require domestic companies involved in overseas offerings and listings to obtain approvals from the competent authority and file with the state secrets protection administration of the same level before providing or publicly disclosing any document or material that involves state secrets or secrets of state organizations. These provisions also require domestic companies to complete required procedures before providing accounting archives to entities, including securities companies, securities service institutions, overseas regulators, and individuals. Additionally, domestic companies, securities companies and securities service institutions must obtain approvals before providing documents and information in response to inspections and investigations by overseas regulators. These inspections and investigations shall be conducted via the cross-border supervision mechanism whereby the PRC regulators will provide necessary assistance. See “Item 4. Information on the Company—B. Business Overview—Regulation—PRC regulation on Overseas Listings.” As these provisions are relatively new and there are substantial uncertainties with respect to the enforcement of the requirements and the specific procedures and approvals required thereunder, we cannot assure you that, if applicable to us, we would be able to obtain the necessary approvals on a timely basis or at all, which may hinder our ability to comply with the requirements under these provisions and carry out future offerings or listings of securities overseas.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6, 2024, the NDRC and the Ministry of Commerce jointly issued </w:t>
      </w:r>
      <w:r>
        <w:rPr>
          <w:rFonts w:ascii="Times New Roman" w:cs="Times New Roman" w:eastAsia="Times New Roman" w:hAnsi="Times New Roman"/>
          <w:sz w:val="18"/>
          <w:szCs w:val="18"/>
          <w:i w:val="1"/>
          <w:iCs w:val="1"/>
          <w:color w:val="auto"/>
        </w:rPr>
        <w:t>the Special Administrative Measures (Negative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List) for Foreign Investment Access (2024 Version)</w:t>
      </w:r>
      <w:r>
        <w:rPr>
          <w:rFonts w:ascii="Times New Roman" w:cs="Times New Roman" w:eastAsia="Times New Roman" w:hAnsi="Times New Roman"/>
          <w:sz w:val="18"/>
          <w:szCs w:val="18"/>
          <w:color w:val="auto"/>
        </w:rPr>
        <w:t>, or the 2024 Negative List, which became effective on November 1, 2024.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2024 Negative List, if a PRC company engaging in a prohibited business stipulated in the 2024 Negative List seeks an overseas offering and listing, it shall obtain the approval from the competent governmental authorities. In addition, the foreign investors of the issuer shall not be involved in the company’s operation and management, and their shareholding percentages shall be subject, mutatis mutandis, to the regulations on domestic securities investments by foreign investors. As the 2024 Negative List is relatively new, there remain substantial uncertainties as to the interpretation and implementation of these new requirements, and it is unclear as to whether and to what extent listed companies like us will be subject to these new requirements. If we are required to comply with these requirements and fail to do so on a timely basis, if at all, our business operations, financial condition and business prospect may be adversely and materially affected.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24, 2024, the State Council published the Administrative Measures for Network Data Security with effect from January 1, 2025, which provides that where network data processors carry out network data processing activities that have affected or may affect national security, they shall undergo a national security review in accordance with the relevant laws and regulations.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we cannot assure you that any new rules or regulations promulgated in the future will not impose additional requirements on us. If it is determined in the future that approval from and filing with the CSRC or other regulatory authorities or other procedures, including the cybersecurity review under </w:t>
      </w:r>
      <w:r>
        <w:rPr>
          <w:rFonts w:ascii="Times New Roman" w:cs="Times New Roman" w:eastAsia="Times New Roman" w:hAnsi="Times New Roman"/>
          <w:sz w:val="18"/>
          <w:szCs w:val="18"/>
          <w:i w:val="1"/>
          <w:iCs w:val="1"/>
          <w:color w:val="auto"/>
        </w:rPr>
        <w:t>the Measures for Cybersecurity Reviews</w:t>
      </w:r>
      <w:r>
        <w:rPr>
          <w:rFonts w:ascii="Times New Roman" w:cs="Times New Roman" w:eastAsia="Times New Roman" w:hAnsi="Times New Roman"/>
          <w:sz w:val="18"/>
          <w:szCs w:val="18"/>
          <w:color w:val="auto"/>
        </w:rPr>
        <w:t>, are required for our future offshore offerings (if any),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future offshore offerings (if any), or a rescission of any such approval or filing if obtained by us, would subject us to sanctions by the CSRC or other PRC regulatory authorities for failure to seek CSRC approval or filing or other government authorization for our future offshore offerings (if any). These regulatory authorities may impose fines and penalties on our operations in China, limit our ability to pay dividends outside of China, limit our operating privileges in China, delay or restrict the repatriation of the proceeds from our future offshore offerings (if any)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future offshore offerings (if any)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future offshore offerings (if any),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and reputation as well as the trading price of our listed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prices of our ADSs are likely to be volatile and could fluctuate widely due to factors beyond our control. This may happen because of broad market and industry factors, such as the performance and fluctuation in the market prices or the underperformance or deteriorating financial results of other similarly situated China-based issuers. The securities of some of these companies, including internet companies, have experienced significant volatility since their initial public offerings, including, in some cases, substantial declines in the trading prices of their securities. Such performances may affect the attitudes of investors toward China-based issuers, which consequently may impact the trading performance of our ADSs, regardless of our actual operating performance. In addition, any negative news or perceptions about inadequate corporate governance practices or fraudulent accounting or other practices of certain China-based issuers may also negatively affect the attitudes of investors towards China-based issuers in general, including us, regardless of whether we have engaged in such practices. In addition, securities markets may from time to time experience significant price and volume fluctuations that are not related to our operating performance, which may have a material adverse effect on the market price of our ADSs.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ADSs is likely to be highly volatile and subject to wide fluctuations in response to factors including the following:</w:t>
      </w:r>
    </w:p>
    <w:p>
      <w:pPr>
        <w:spacing w:after="0" w:line="162"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advertisers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our services or those of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internet companies in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of our expected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internet or online advertising industry in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services, acquisitions, strategic relationships, joint ventures or capital commitments;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Renminbi and the U.S. dollar;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shares or ADSs;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shares or ADSs.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our ADSs, the market price for our ADSs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do not have any plans to pay dividends as of this annual report, you may have to rely on price appreciation of our ADSs for return on your investment.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Subject to our ongoing financial performance, cash position, budget and business plan, market conditions or other factors, we may consider paying special dividends. However, as we do not yet have any plans to pay dividends, you should not rely on an investment in our ADSs as a source for any future dividend income.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applicable laws. In addition, our shareholders may by ordinary resolution declare dividends,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As of March 31, 2026, we had 318,268,921 common shares (excluding (i) 45,843,590 common shares that are reserved for bulk issuance upon the exercise or vesting of awards granted under our share incentive plan, or repurchased by our company but not yet canceled, and (ii) 10,889,429 common shares, consisting of 2,177,885 ADSs (representing 10,889,425 common shares) and 4 common shares held by Leading Advice Holding Limited, a share incentive awards holding platform). All our outstanding common shares represented by ADSs were freely transferable by persons other than our “affiliates” without restriction or additional registration under the Securities Act of 1933, as amended, or the Securities Act. The remaining common shares will be available for sale subject to volume and other restrictions as applicable under Rules 144 and 701 under the Securities Act.</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4, 2024, our board of directors authorized a share repurchase program, under which we may repurchase up to US$20 million of our shares until June 2025. Although our board of directors has authorized this program, we are not obligated to purchase any specific dollar amount or to acquire any specific number of shares. The timing and amount of repurchases, if any, will depend upon several factors, including market, business conditions, the trading price of the ADSs or our common shares and the nature of other investment opportunities. Our share repurchase program could affect the price of the ADSs and increase volatility and may be suspended or terminated at any time, which may result in a decrease in the trading price of the ADSs. For example, the existence of a share repurchase program could cause the price of the ADSs to be higher than it would be in the absence of such a program and could potentially reduce the market liquidity for the ADSs. Additionally, our share repurchase program could diminish our cash reserves, which may impact our ability to finance future growth and to pursue possible future strategic opportunities. There can be no assurance that any share repurchases will enhance shareholder value because the market price of the ADSs or our common shares may decline below the levels at which we determine to repurchase the ADSs or our common shares. Although our share repurchase program is intended to enhance long-term shareholder value, there is no assurance that it will do so and short-term share price fluctuations could reduce the program’s effectiveness.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our common shares or other deposited securities after deducting its fees and expenses. You will receive these distributions in proportion to the number of common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how the common shares which are represented by your ADSs are voted.</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common shares represented by your ADSs indirectly by giving voting instructions to the depositary in accordance with the provisions of the deposit agreement. If we instruct the depositary to ask for your instructions, then upon receipt of your voting instructions, the depositary will try, as far as practicable, to vote the underlying common shares which are represented by your ADSs in accordance with your instructions. If we do not instruct the depositary to ask for your instructions, the depositary may still vote in accordance with instructions you give under specific circumstances when it is not required to do so. You will not be able to directly exercise your right to vote with respect to the underlying common shares represented by your ADSs unless you convert your ADSs into the underlying common shares and become the registered holder of such common shares prior to the record date for a general meeting. When a general meeting is convened, you may not receive sufficient advance notice of the meeting to withdraw the underlying common shares represented by your ADSs and become the registered holder of such common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common shares underlying your ADSs and becoming the registered holder of such shares prior to the record date, so that you would not be able to attend the general meeting or to vote directly. If we ask for your instructions, the depositary will, at the sole discretion of the depositary and as soon as practicable,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the underlying common shares represented by your ADSs.</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depositary are entitled to amend the deposit agreement and to change the rights of ADS holders under the terms of such agreement, and we may terminate the deposit agreement, without the prior consent of the ADS holders.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the depositary may amend or terminate the deposit agreement without your consent. Such amendment or termination may be done in favor of our company. Holders of the ADSs, subject to the terms of the deposit agreement, shall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ADS holders. If you continue to hold the ADSs after an amendment to the deposit agreement, you agree to be bound by the deposit agreement as amended. The depositary may, and shall at our written direction, terminate the deposit agreement and the ADSs by mailing notice of such termination to the registered holders of ADSs at least 30 days prior to the date fixed in such notice for such termination. After instructing its custodian to deliver all ordinary shares to us along with a general stock power that refers to the names set forth on the ADS register maintained by the depositary and providing us with a copy of the ADS register maintained by the depositary, the depositary and its agents will perform no further acts under the deposit agreement or the ADSs and shall cease to have any obligations under the deposit agreement and/or the ADSs.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of the ADSs may agree to distribute, subject to the terms of the deposit agreement, the cash dividends or other distributions it or the custodian receives on our ordinary shares or other deposited securities underlying the ADSs, after deducting its fees and expenses. You would receive these distributions in proportion to the number of common shares the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 and ordinary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 agreement provides that, to the fullest extent permitted by law, ADS holders waive the right to a jury trial of any claim they may have against us or the depositary arising out of or relating to our ordinary shares, the ADSs or the deposit agreement, including any claim under the U.S. federal securities laws.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 The jury trial waiver provision may result in increased costs to ADS holders to bring a claim, limited access to information and other imbalances of resources between our company and our ADS holders, and such provision could discourage claims or limit our ADS holders’ ability to bring a claim in a judicial forum that they find favorable.</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conduct our operations primarily in China and substantially all of our directors and officers reside outside the United States.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conduct our operations primarily in China through our PRC subsidiaries and variable interest entities and their subsidiaries. Substantially all of our directors and officers reside outside the United States. As a result, it may be difficult or impossible for you to bring an action against us or against these individuals in the Cayman Islands or in the United States in the event that you believe that your rights have been infringed under the U.S.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is uncertainty as to whether Cayman Islands courts or PRC courts would recognize or enforce judgments of courts of the United States obtained against us, or entertain original actions brought in the Cayman Islands or the PRC against us, based on certain civil liability provisions of U.S. securities laws.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(iii) is not inconsistent with a Cayman Island judgment in respect of the same matter, and (iv)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with the United States or the Cayman Islands that provide for the enforcement of foreign judgments, and PRC courts strictly adopt the principle of reciprocity in judicial practice. In addition, according to the PRC Civil Procedures Law, PRC courts will not enforce a foreign judgment against us or our directors and officers if they decide that the judgment violates the basic principles of PRC law or national sovereignty, national security or public interest. As a result, it is uncertain whether and on what basis a PRC court would enforce a judgment rendered by a court in the United States or in the Cayman Islands.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as amended and restated from time to time, and by the Companies Act (As Revised) and common law of the Cayman Islands. The rights of shareholders to take legal actions against us and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in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also difficult or impossible for you to bring an action against us or against our directors and officers in China. Under the PRC Civil Procedures Law, foreign shareholders may bring an action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bring actions against us in the PRC in accordance with PRC laws because we are incorporated under the laws of the Cayman Islands and it will be difficult for U.S. shareholders, by virtue only of holding the ADSs or common shares, to establish a connection to the PRC for a PRC court to have jurisdiction as required under the PRC Civil Procedures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our public shareholders may have more difficulties in protecting their interests through actions against us, our management, our directors or our controlling shareholders than would shareholders of a corporation incorporated in a jurisdiction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are a Cayman Islands exempted company, the rights of our shareholders may be more limited than those of shareholders of a company organized in the United States.</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Protection of the interests of minority shareholders under Cayman Islands law may not be as effective in all circumstances as under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our directors have the power to take certain actions without shareholder approval which would require shareholder approval under the laws of most U.S. jurisdictions. The directors of a Cayman Islands company, without shareholder approval, may implement a sale of any assets, property, part of the business, or securities of the company. Our ability to create and issue new classes or series of shares without shareholders’ approval could have the effect of delaying, deterring or preventing a change in control without any further action by our shareholders, including a tender offer to purchase our common shares at a premium over then current market prices.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contains anti-takeover provisions that could adversely affect the rights of holders of our common shares and ADSs.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contains certain provisions that could limit the ability of others to acquire control of our company, including a provision that grants authority to our board of directors to establish from time to time one or more series of preferred shares without action by our shareholders. The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actions are substantially controlled by our directors, executive officers and other principal shareholders, who can exert significant influence over important corporate matters, which may reduce the price of our ADSs and deprive you of an opportunity to receive a premium for your shares.</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our directors, executive officers and existing principal shareholders beneficially owned approximately 55.1% of our outstanding common shares. These shareholders, if acting together, could exert substantial influence over matters such as electing directors and approving material mergers and acquisitions.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our ADSs. These actions may be taken even if they are opposed by our other shareholders. In addition, these persons could divert business opportunities away from us to themselves or others.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for United States federal income tax purposes for our taxable year ended December 31, 2025, which could subject United States investors in the ADSs or common shares to significant adverse United States federal income tax consequences.</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upon the nature and composition of our assets (in particular, the retention of substantial amounts of cash and investments), and the market price of our ADSs, we believe that we were a “passive foreign investment company” (a “PFIC”) for United States federal income tax purposes for our taxable year ended December 31, 2025, and we will very likely be classified as a PFIC for our current taxable year unless the market price of our ADSs increases and/or we invest a substantial amount of the cash and other passive assets we hold in assets that produce or are held for the production of active income. In addition, it is possible that one or more of our subsidiaries may be or become classified as a PFIC for United States federal income tax purposes. A non-U.S. corporation will be classified as a PFIC for any taxable year if either (1) 75% or more of its gross income consists of certain types of passive income or (2) 50% or more of the value of its assets (generally determined on the basis of a quarterly average) during such year is attributable to assets that produce or are held for the production of passive income. Although the law in this regard is unclear, we intend to treat the variable interest entities (including their subsidiaries) as being owned by us for United States federal income tax purposes, not only because we exercise effective control over the operations of such entity, but also because we are entitled to substantially all of its economic benefits, and, as a result, we consolidate its results of operations in our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or any of our subsidiaries is classified as a PFIC for any taxable year during which a U.S. Holder (as defined in Item 10. Additional Information—E. Taxation—United States Federal Income Tax Considerations) holds our ADSs or common shares, such U.S. Holder will generally be subject to burdensome reporting requirements and may incur significantly increased United States federal income tax on gain recognized on the sale or other disposition of the ADSs or common shares and on the receipt of distributions on the ADSs or common shares to the extent such gain or distribution is treated as an “excess distribution” under the United States federal income tax rules. Further, if we are classified as a PFIC for any year during which a U.S. Holder holds our ADSs or common shares, we generally will continue to be treated as a PFIC for all succeeding years during which such U.S. Holder holds our ADSs or common shares, unless we cease to be a PFIC and such U.S. Holder makes a “deemed sale” election with respect to the ADSs or common shares. For more information, see the section titled “Item 10. Additional Information—E. Taxation—United States Federal Income Tax Considerations—Passive Foreign Investment Company Considerations” and “Item 10. Additional Information—E. Taxation—United States Federal Income Tax Considerations—Passive Foreign Investment Company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commenced operations in January 2003 through the establishment of Shenzhen Xunlei, which operates our Xunlei internet platform together with its various subsidiaries in the PRC.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2005, we established Xunlei Limited as our holding company in the Cayman Islands. Xunlei Limited directly owns Giganology Shenzhen, our wholly owned subsidiary in China established in June 2005. Giganology Shenzhen primarily engages in the research and development of new technologies.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Giganology Shenzhen has entered into a series of contractual arrangements with Shenzhen Xunlei and its shareholders. These contractual arrangements enable us to direct the activities that most significantly affect Shenzhen Xunlei’s economic performance and as a result, we have consolidated the financial results of Shenzhen Xunlei and its subsidiaries in our consolidated financial statements in accordance with U.S. GAAP. The existing principal subsidiaries of Shenzhen Xunlei include the following:</w:t>
      </w:r>
    </w:p>
    <w:p>
      <w:pPr>
        <w:spacing w:after="0" w:line="180" w:lineRule="exact"/>
        <w:rPr>
          <w:sz w:val="20"/>
          <w:szCs w:val="20"/>
          <w:color w:val="auto"/>
        </w:rPr>
      </w:pPr>
    </w:p>
    <w:p>
      <w:pPr>
        <w:jc w:val="both"/>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Shenzhen Xunlei Wangwenhua Co., Ltd. (formerly known as “Shenzhen Fengdong Networking Technologies Co., Ltd.”), or Wangwenhua, which was established in December 2005 and primarily engages in software development, technical consulting and other related technical services.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Xunlei Games Development (Shenzhen) Co., Ltd., or Xunlei Games, which was established in February 2010 and primarily engages in the development of online games and computer software and advertising services.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Henan Tourism Information Co., Ltd., which we acquired 80% of the total equity interest from an independent third party in June 2018 and primarily engages in computer software development, information consultation, entertainment services, advertising, and certain information services under Type II value-added telecommunication businesses.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2011, we established a direct wholly-owned subsidiary, Xunlei Network Technologies Limited, or Xunlei Network BVI, in the British Virgin Islands. In March 2011, we established Xunlei Network Technologies Limited, or Xunlei Network HK, in Hong Kong, which is the direct wholly-owned subsidiary of Xunlei Network BVI. Xunlei Network HK primarily engages in the development of computer software. In November 2011, we established Xunlei Computer in China, which is the direct wholly-owned subsidiary of Xunlei Network HK. Xunlei Computer primarily engages in the development of computer software and information technology services.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2014, we completed the initial public offering of our ADSs, which are listed on the Nasdaq Global Select Market under the symbol “XNET.”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2014, we, through Shenzhen Xunlei, acquired from subsidiaries of Kingsoft Corporation Limited Kuaipan Personal and Kansunzi, both software services in support of cloud-sourced storage and sharing, and their related business and assets, for an aggregate cash consideration of US$33 million. In August 2016, we discontinued our Kuaipan Personal services due to a change of business focus.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2015, we completed the sale of our entire stake in Xunlei Kankan to Beijing Nesound International Media Corp., Ltd., an independent third party, for a consideration of RMB130.0 million. As of December 31, 2019, Beijing Nesound International Media Corp., Ltd. had fully paid the whole consideration of RMB130.0 million to 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2021, we acquired all equity interest of Funi. Pte. Ltd. from an independent third party. Funi. Pte. Ltd. was established in Singapore and primarily engages in audio live-streaming business in the Middle East, North Africa and Southeast Asia and business development for international markets.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2021, we established Shenzhen Suqu, a variable interest entity. Xunlei Computer has entered into a series of contractual arrangements with Shenzhen Suqu and multiple layers of legal entities above Shenzhen Suqu, namely, Zhiyi Wensi and Zhilue Xinsi, as well as their partners and shareholders, as applicable. These contractual arrangements enable us to direct the activities that most significantly affect Shenzhen Suqu’s operations and receive substantially all of its economic benefits, and accordingly, we have consolidated Shenzhen Suqu and its subsidiaries in our consolidated financial statements in accordance with U.S. GAAP. The existing principal subsidiaries of Shenzhen Suqu include the following:</w:t>
      </w:r>
    </w:p>
    <w:p>
      <w:pPr>
        <w:spacing w:after="0" w:line="187" w:lineRule="exact"/>
        <w:rPr>
          <w:sz w:val="20"/>
          <w:szCs w:val="20"/>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Kuanghui Network Technology Co., Ltd., which was established in 2013 and acquired by us in May 2025, operates Hupu and primarily engages in technical services, technical consulting, advertising, media and sport agent and other related services.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Hupu (Shanghai) Information Technology Co., Ltd., which was established in February 2021, primarily engages in technical services, technical consulting, advertising, sports and performing events planning, ticketing services, internet-related sales and other related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2022, we established Fuconnect. Pte. Ltd. in Singapore, primarily offering an audio live-streaming product, which primarily targets regions such as East Asia and Southeast Asia.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Shenzhen Onething was established in September 2013 and primarily engages in cloud computing technology development and related services with valid Value-added Telecommunication Services Licenses. Shenzhen Onething was previously a subsidiary of Shenzhen Xunlei which held 70% equity interest in Shenzhen Onething, and certain plan participants or share incentive awards holding platforms hold the rest of equity interest for the employee share incentive plan. In March 2026, Shenzhen Xunlei entered into definitive agreements to transfer an aggregate 50% equity interest in Shenzhen Onething for an aggregate cash consideration of RMB125 million. Upon completion of the transaction in March 2026, Shenzhen Xunlei retained 20% equity interest in Shenzhen Onething, and we no longer consolidate the financial results of Shenzhen Onething.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3709 Baishi Road, Nanshan District, Shenzhen, 518000, the People’s Republic of China. Our telephone number at this address is +86-0755 61111571. Our registered office in the Cayman Islands is located at the offices of Maples Corporate Services Limited, PO Box 309, Ugland House, Grand Cayman, KY1-1104, Cayman Islands.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on www.sec.gov. You can also find information on at our investor relations website </w:t>
      </w:r>
      <w:r>
        <w:rPr>
          <w:rFonts w:ascii="Times New Roman" w:cs="Times New Roman" w:eastAsia="Times New Roman" w:hAnsi="Times New Roman"/>
          <w:sz w:val="18"/>
          <w:szCs w:val="18"/>
          <w:i w:val="1"/>
          <w:iCs w:val="1"/>
          <w:color w:val="auto"/>
        </w:rPr>
        <w:t>http://ir.xunlei.com</w:t>
      </w:r>
      <w:r>
        <w:rPr>
          <w:rFonts w:ascii="Times New Roman" w:cs="Times New Roman" w:eastAsia="Times New Roman" w:hAnsi="Times New Roman"/>
          <w:sz w:val="18"/>
          <w:szCs w:val="18"/>
          <w:color w:val="auto"/>
        </w:rPr>
        <w:t>. The information contained therein is not a part of this annual report.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5. Operating and Financial Review and Prospects—B. Liquidity and Capital Resources—Capital Expenditures” for a discussion of our capital expenditures.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800" w:firstLine="8"/>
        <w:spacing w:after="0" w:line="503"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technology company providing distributed cloud services in China. We operate a powerful internet platform in China based on cloud technology to enable our users to quickly access, store, manage and consume digital media content on the internet. We have expanded our products and services from PC-based devices to mobile devices in part through pre-installed acceleration products in mobile phones to further enlarge our user base and offer our users a wider range of access points. We provide a wide range of products and services across cloud acceleration and digital entertainment to deliver an efficient, smart and safe internet environment to our users.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Entertainment Ecology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users with quick and easy access to online digital media content through (i) our core product, Xunlei Accelerator, a free product which enables users to accelerate digital transmission over the internet, and (ii) subscription services, which are delivered through our product, Green Channel, and offer users premium services for speed, reliability and storage.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Xunlei Accelerator is our most popular product, and had approximately 50.5 million monthly unique visitors in December 2025, according to our internal records. In addition to Xunlei Accelerator, we also provide live - streaming services and other internet value-added services, which primarily include online advertising and online game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part of our cloud-based mobile strategies, in 2012, we launched Mobile Xunlei, a mobile app that allows users to search, download, consume and store digital media content on their mobile devices in a user-friendly way. Mobile Xunlei has successfully gained popularity, as evidenced by being one of the most downloaded applications in its category. Based on our own records, the monthly average daily active user of Mobile Xunlei reached about 4.4 million in 2025.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mobile initiatives also benefit from our relationship with Xiaomi. In 2014, we entered into a pre-installed services agreement with Xiaomi, pursuant to which we agree to provide our Mobile Xunlei acceleration plug-in, and Xiaomi agrees to install such plug-in on its phones free of charge. Such pre-installment arrangement provides mobile phone users with access to our acceleration services, which we believe enhances our ability to generate more user traffic. Our mobile acceleration software has been officially adopted by Xiaomi’s operating systems and installed on Xiaomi phones sold in China, including both new phone shipments and system upgrades from existing Xiaomi phones.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Apart from our core digital media transmission product and services, we launched our video live-streaming business in 2016 and audio live-streaming business in 2018. In 2021, we further diversified our live-streaming products portfolio by rolling out Hiya in April 2021, an audio live-streaming product for overseas markets primarily in the Middle East, North Africa and Southeast Asia, and Hiya Voice in September 2021, another audio live-streaming product mainly focusing on the China market. Users may chat and interact with broadcasters, and they can purchase virtual gifts from the platform to reward the broadcasters they like. In 2023 and 2024, we streamlined our audio live-streaming business by terminating the operations of Hiya Voice and Xunlei Live in China to adapt to the evolving market conditions. As a result, we have ceased providing both audio and video live-streaming services in China, while we continue to provide audio live-streaming services in overseas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Computing Ecology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core part of our strategy is innovating in crowd-sourcing idle bandwidth and storage from users of our cloud computing hardware to provide computing resources to third-party partners.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launched the decentralized OneThing Cloud in 2017, and a user reward program in 2020 that offers cash incentives for sharing idle network and storage resources. In 2018, we rolled out the StellarCloud shared cloud computing platform, delivering cost-effective edge computing, function computing and shared CDN solutions to enterprise users via its extensive node network.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upgraded our edge computing hardware, launching a new edge computing product in June 2022 and two new generations of OneThing Cloud hardware in January and December 2023. All products leverage our proprietary edge computing technology to intelligently schedule user resources and optimize edge cloud computing power distribution, with users and customers rewarded based on their resource contributions. As the Company decided to transfer the majority equity interest in Shenzhen Onething in March 2026, we will hold the rights to the shared cloud computing services as a minority shareholder.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revenues by monetizing our large user base, primarily through the following services:</w:t>
      </w:r>
    </w:p>
    <w:p>
      <w:pPr>
        <w:spacing w:after="0" w:line="223" w:lineRule="exact"/>
        <w:rPr>
          <w:sz w:val="20"/>
          <w:szCs w:val="20"/>
          <w:color w:val="auto"/>
        </w:rPr>
      </w:pPr>
    </w:p>
    <w:p>
      <w:pPr>
        <w:ind w:left="1000" w:hanging="317"/>
        <w:spacing w:after="0" w:line="284"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services</w:t>
      </w:r>
      <w:r>
        <w:rPr>
          <w:rFonts w:ascii="Times New Roman" w:cs="Times New Roman" w:eastAsia="Times New Roman" w:hAnsi="Times New Roman"/>
          <w:sz w:val="18"/>
          <w:szCs w:val="18"/>
          <w:color w:val="auto"/>
        </w:rPr>
        <w:t>. We provide premium subscription services to subscribers to enable faster download acceleration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reliable access as well as larger cloud storage to digital media content.</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Live-streaming and other services</w:t>
      </w:r>
      <w:r>
        <w:rPr>
          <w:rFonts w:ascii="Times New Roman" w:cs="Times New Roman" w:eastAsia="Times New Roman" w:hAnsi="Times New Roman"/>
          <w:sz w:val="18"/>
          <w:szCs w:val="18"/>
          <w:color w:val="auto"/>
        </w:rPr>
        <w:t>. We historically offer various live-streaming products, including video live-streaming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audio live-streaming domestically and internationally. We ceased the operations of our audio live-streaming business and video live-streaming business in China in June 2023 and October 2024, respectively. As a result, we have ceased providing both audio and video live-streaming services in China, while we continue to provide audio live-streaming services in overseas markets. We also offer other services including other value-added services, such as Xunlei online advertising, Hupu advertising services, online games, technical services, and rental service.</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Cloud computing services and products</w:t>
      </w:r>
      <w:r>
        <w:rPr>
          <w:rFonts w:ascii="Times New Roman" w:cs="Times New Roman" w:eastAsia="Times New Roman" w:hAnsi="Times New Roman"/>
          <w:sz w:val="18"/>
          <w:szCs w:val="18"/>
          <w:color w:val="auto"/>
        </w:rPr>
        <w:t>. We offer cloud computing services by crowdsourcing idle bandwidth capacity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storage from users and continuously deliver computing resources to third parties, such as internet content providers, through our CDN services.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decreased from US$364.9 million in 2023 to US$324.4 million in 2024, and increased to US$462.4 million in 2025. We had a net income attributable to Xunlei Limited of US$14.2 million in 2023, US$1.2 million in 2024, and US$1,048.3 million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our platform, users can accelerate internet content transmission and store digital content in the cloud drive, develop and operate blockchain-based services and applications, as well as enjoy popular forms of internet-based entertainment, such as watching online digital content and live performances, playing online games, and interacting with broadcasters through audio live-streaming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Cloud-based acceleration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data transmission acceleration services based on cloud computing technology to internet users. Our cloud computing technology utilizes a network of computers hosted on the internet to store, manage and process data, thus providing our users with acceleration in internet data transmission and improving their download success rates. We provide our acceleration services to internet users with the following products and services.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Accelerator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launched our core product, Xunlei Accelerator, in 2004 to address deficiencies of digital media content transmission over internet in China. Xunlei Accelerator allows users to accelerate digital transmission over the internet for free. Xunlei Accelerator also bridges users with diverse needs to other services we offer, such as Xunlei Media Player, which supports both online and offline video watching, and our various online games, by recommending and providing links to these services on its user interface.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Xunlei Accelerator is designed to provide an effective digital media content transmission solution to our users. In addition to our featured transmission acceleration function, we have integrated certain features into the interface of Xunlei Accelerator to enhance the overall user experience while helping users transmit their desired content efficiently. For example, Xunlei Accelerator provides a platform to integrate other third-party plug-in applications. Users can add application tabs to create shortcuts to various services that are provided by us, third-party application developers and application vendors who have business relationships with us. Xunlei Accelerator also has a task management console to allow users to track and manage their transmissions in progress, to manage and prioritize cloud-based data transmission tasks, or manage and synchronize transmitted content across multiple internet-enabled devices.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2020, we further tapped into our existing acceleration capacity and expanded the digital media content transmission solution provided by our Xunlei Accelerator to cover business users, in particular, online game companies. Depending on specific demands of online game companies, we are able to formulate individualized acceleration solutions tailored to such online game companies and help them better connect with target users of their online games.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2020, we also upgraded our Xunlei Accelerator by providing our users with personal cloud storage resources through launching Xunlei Cloud Drive. Instead of stretching increasingly inadequate local storage resources, Xunlei Cloud Drive allows users to save documents, files and other internet content they downloaded on the cloud server. Users can also upload documents and files on Xunlei Cloud Drive with security control, which provides real-time back-ups. Our Xunlei Cloud Drive offers each user a free storage space of 10 GB. Users can retrieve the internet content they stored on Xunlei Cloud Drive whenever they want through different terminals including tablets, smartphones and desktops. Xunlei Cloud Drive also allows users to share the data saved on the cloud server among each other. Users are able to access our Xunlei Cloud Drive service for free through our Xunlei Accelerator. Subscribers of our premium cloud acceleration service will be able to enjoy a cloud storage space of 3 TB to 10 TB.</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2022, we expanded our offerings by introducing the Xunlei Cloud Drive application for TV, enhancing user experience across various scenarios such as television, online TV, projectors and more. Our aim is to empower cloud drive users to seamlessly consume videos, pictures and files on larger screens. This innovative application enables users to effortlessly switch between different levels of definition, play synchronization, sound effects toggles, HDR support and other premium features. Additionally, the TV application facilitates content consumption on diverse hardware devices including PCs, NAS systems and network devices.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Mobile acceleration plug-in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a mobile acceleration plug-in, which provides mobile device users with benefits of download speed acceleration and download success rate improvements similar to those offered by the PC-based Xunlei Accelerator. Our mobile acceleration plug-in has been adopted by Xiaomi, a Chinese smartphone maker, on all of its Hyper operating systems. Xiaomi installs our mobile acceleration plug-in on all of its new phones sold in China free of charge and adds such plug-in to the existing ones via system upgrade. Xiaomi phone users thus have access to our acceleration services.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 services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charge monthly, quarterly or annual fees for our premium subscription services. The benefits and services within the subscription package, which typically include incrementally larger bandwidth, faster acceleration speed and larger cloud storage, are upgraded according to the VIP levels. Our subscription services are delivered through our major premium acceleration product, Green Channel. It allows our subscribers to transmit digital media files from the internet, which significantly improves speed and reliability of such transmission. This is particularly helpful when subscribers need to transmit files that are only available from slow or unreliable data transmission sources, or to transmit a group of files while having only limited internet connectivity time. In addition to our major premium acceleration product, our product, Fast Bird, also accelerates our subscribers’ internet access by increasing the bandwidth of the network system provided by telecommunications service providers.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adopted different strategies and various promotion programs for each VIP level. For example, when we discovered that some of our users were not aware of our subscription services, we provided users with greater exposure to our subscription services in different parts of our platform and promoted products with significant potential interests to specific users. We use our powerful digital data analysis capabilities to explore different areas of users’ needs previously unmet by existing functions and research and develop relevant functions based on such analysis. We offer users promotional measures, such as providing some free trials of premium acceleration services, to show the differences in the data transmission speeds to demonstrate how our premium services tremendously enhance data delivery speed and overall subscriber experience. In order to promote customer loyalty, we may elevate the VIP levels of our subscribers if they actively engage in our services. Once upgraded to certain higher VIP levels, our subscribers may be offered additional independent accounts, internally termed as sub-accounts, which allow users to access our premium acceleration services, at no additional charges. Starting from September 2016, we have ceased to provide new sub-accounts to users with upgraded VIP levels. Users with existing independent accounts are still able to use such accounts.</w:t>
      </w:r>
    </w:p>
    <w:p>
      <w:pPr>
        <w:spacing w:after="0" w:line="1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a subscriber base of approximately 6.0 million, 6.4 million and 7.7 million as of December 31, 2023, 2024 and 2025, respectively. In this annual report, the number of subscribers as of a given day excludes any sub-accounts.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Xunlei</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Mobile Xunlei is a mobile application that allows users to search, download and consume digital media content on their mobile devices. The monthly average daily active user of this product was about 4.4 million in 2025. We monetize our mobile traffic through advertising sales. Moreover, this mobile application also supplements our existing subscriptions business. Some of our mobile application users also became users of our PC-based Xunlei Accelerator.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launched our cloud computing project in 2014 with Zhuanqianbao, a proprietary hardware that crowdsources idle uplink capacity from users, for which we provide cash compensation. In 2017, we launched OneThing Cloud, a decentralized cloud computing and storage device, to further crowd-source users’ idle computing resources and convert them into cloud computing resources via proprietary technologies, with users eligible for our cash reward program for resource contributions.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2018, we rolled out StellarCloud, a distributed cloud computing platform integrating shared economy and blockchain technologies, offering cost-effective edge computing, function computing and shared CDN solutions to enterprise users by virtue of proprietary technologies and extensive node distribution. In 2019, we expanded our node network by partnering with local IDC and ISP providers to build distributed cloud computing node rooms across China, collecting more idle bandwidth and storage resources through deployed OneThing Cloud devices.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crowdsourced uplink capacity is commercialized for customers including streaming websites and app stores, and we also utilize such resources for our own business operations to reduce third-party bandwidth procurement costs. Leveraging our massive distributed nodes, we have developed and launched edge computing hardware products with self-developed edge computing technology, which optimizes edge cloud computing power distribution by intelligently scheduling user resources, with resource contributors receiving corresponding rewards.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Live-streaming services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launched our live-streaming services in 2016. Through our Xunlei Live website and mobile app, users are able to access our live video streaming services. While viewing live online performances delivered by broadcasters, users may interact with broadcasters, purchase virtual items from us to reward broadcasters they like. In May 2018, we expanded our live-streaming business by launching another audio live-streaming service through our mobile app. Users and broadcasters may interact with each other in the chat-rooms with different topics through audio live-streaming and purchase virtual items from our platform to reward each other.</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further diversified our live-streaming offerings in 2021. We launched Hiya, an audio live-streaming platform targeting overseas markets in April 2021. Similar to our audio live-streaming platform we launched in May 2018, overseas users of Hiya can join different chat-rooms with their favorite topics, then they are able to interact with broadcasters by purchasing virtual items from the platform and rewarding virtual items to broadcasters. In 2025, Hiya generated a revenue of US$31.2 million, accounting for 6.7% of our total revenues in 2025, as compared to US$31.4 million, accounting for 9.7% of our total revenues in 2024. As of the date of this annual report, users of Hiya are primarily from countries in the Middle East, Southeast Asia, South Asia and North Africa.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we launched WeFun, an audio live-streaming product primarily targeting regions such as East Asia and Southeast Asia. Users of WeFun can join various chat rooms based on their favorite topics, allowing them to interact with broadcasters by purchasing and rewarding virtual items. In 2025, WeFun generated revenue of US$46.7 million, accounting for 10.1% of our total revenues, as compared to US$18.9 million in 2024, accounting for 5.8% of our total revenues in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Xunlei Media Player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Xunlei Media Player, which we launched in 2008, is a supplementary tool that helps deliver a more comprehensive viewing experience of digital media content to the users of Xunlei Accelerator. Xunlei Media Player is our proprietary product that supports both online and offline play of digital media content as well as simultaneous play of digital media content while it is being transmitted by Xunlei Accelerator.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game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better serve our users, we partner with third-party online game developers or service providers to offer our users an array of online games through our online game website and mobile app. Such game play platform helps raise the average spending of our subscribers. Online game players can play the games free of charge, but are offered the opportunity to purchase in-game virtual items for a fee to enhance their game-playing experience. We typically enter into cooperation agreements with third-party online game developers or service providers and share revenues generated from online game operations pursuant to revenue sharing arrangements in the agreements.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we disposed of our web game business and discontinued PC-based massively multiplayer online games business in 2018, we only operated mobile game business under our online game business. We started to cooperate with third parties to operate web game business in 2019 under a business model different from that of our previous web game business. In 2019, we collaborated with a third-party online game provider to provide our users with an array of web games on our Xunlei game center website. In 2020, we partnered with additional third-party online game providers to operate web games. We also started to operate PC-based massively multiplayer online games in 2021 again. After logging into their Xunlei accounts, our users are able to play these web games provided by the third-party online game providers. Our users are also able to purchase virtual items in those web games using a payment channel provided by us. Mobile games developed by third-party online game developers are available on our mobile app as usual. Users can download mobile games they are interested in through our mobile app and login the games by using their Xunlei accounts.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value-added services, we may also from time to time offer other ancillary services to cater to users’ needs and to supplement the major services we provide.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advertising services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advertising services primarily through various forms of advertisements placed on our mobile platform and PC websites. With a view to improving the competitiveness of our advertising services, we entered into an advertising revenue sharing agreement with Itui, our largest shareholder, and outsourced our advertising business to Itui in 2020. Itui has developed a precision customer target algorithm, and by cooperating with them, we hope to improve advertisement placement and improve revenues as a result. Pursuant to the agreement, Itui is responsible for operating our advertising services and shares a portion of revenue generated from placing advertisements on our PC websites and mobile platform. In 2023 and 2024, as a result of our continued effort on product optimization and the economic recovery, our advertising revenue increased by 13.4% and 22.9%, respectively. In 2025, our advertising revenue increased significantly by 238.6% as compared to 2024, primarily due to the revenue contribution of the advertising services of Hupu, which was acquired by us in May 2025.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Hupu Advertising Services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Hupu is a leading creator of the sports ecosystem in China, capitalizing on its resource advantages and marketing capabilities. It is also the largest sports internet platform, dedicated to serving the vast community of sports enthusiasts through internet-based approaches.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Hupu’s core business revolves around a comprehensive sports internet platform. In light of the current market situation, it has gradually developed the following three types of basic services, which possess strong competitive advantages and exert significant influence within the industry:</w:t>
      </w:r>
    </w:p>
    <w:p>
      <w:pPr>
        <w:spacing w:after="0" w:line="174" w:lineRule="exact"/>
        <w:rPr>
          <w:sz w:val="20"/>
          <w:szCs w:val="20"/>
          <w:color w:val="auto"/>
        </w:rPr>
      </w:pPr>
    </w:p>
    <w:p>
      <w:pPr>
        <w:jc w:val="both"/>
        <w:ind w:left="1340" w:hanging="333"/>
        <w:spacing w:after="0" w:line="261"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Sports News</w:t>
      </w:r>
      <w:r>
        <w:rPr>
          <w:rFonts w:ascii="Times New Roman" w:cs="Times New Roman" w:eastAsia="Times New Roman" w:hAnsi="Times New Roman"/>
          <w:sz w:val="18"/>
          <w:szCs w:val="18"/>
          <w:color w:val="auto"/>
        </w:rPr>
        <w:t>: Hupu offers the most up-to-date information regarding major domestic and international sports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it provides schedules, videos, live broadcasts, news, player updates, and transfer information of NBA basketball games. Additionally, it encompasses a wide range of sports events, including football, e-sports, F1, tennis, badminton, and also includes reports on significant sports events such as the Olympics and the World Cup.</w:t>
      </w:r>
    </w:p>
    <w:p>
      <w:pPr>
        <w:spacing w:after="0" w:line="179" w:lineRule="exact"/>
        <w:rPr>
          <w:rFonts w:ascii="Times New Roman" w:cs="Times New Roman" w:eastAsia="Times New Roman" w:hAnsi="Times New Roman"/>
          <w:sz w:val="18"/>
          <w:szCs w:val="18"/>
          <w:color w:val="auto"/>
        </w:rPr>
      </w:pPr>
    </w:p>
    <w:p>
      <w:pPr>
        <w:jc w:val="both"/>
        <w:ind w:left="1340" w:hanging="333"/>
        <w:spacing w:after="0" w:line="267"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Interaction</w:t>
      </w:r>
      <w:r>
        <w:rPr>
          <w:rFonts w:ascii="Times New Roman" w:cs="Times New Roman" w:eastAsia="Times New Roman" w:hAnsi="Times New Roman"/>
          <w:sz w:val="18"/>
          <w:szCs w:val="18"/>
          <w:color w:val="auto"/>
        </w:rPr>
        <w:t>: Hupu boasts a highly concentrated male user base. Users are able to post, rate, and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on various topics, share their opinions, and participate in conversations regarding diverse interests and lifestyle-related subjects, thereby establishing a vibrant culture of discussion and interaction.</w:t>
      </w:r>
    </w:p>
    <w:p>
      <w:pPr>
        <w:spacing w:after="0" w:line="173" w:lineRule="exact"/>
        <w:rPr>
          <w:rFonts w:ascii="Times New Roman" w:cs="Times New Roman" w:eastAsia="Times New Roman" w:hAnsi="Times New Roman"/>
          <w:sz w:val="18"/>
          <w:szCs w:val="18"/>
          <w:color w:val="auto"/>
        </w:rPr>
      </w:pPr>
    </w:p>
    <w:p>
      <w:pPr>
        <w:jc w:val="both"/>
        <w:ind w:left="1340" w:hanging="333"/>
        <w:spacing w:after="0" w:line="255"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Hupu Ratings</w:t>
      </w:r>
      <w:r>
        <w:rPr>
          <w:rFonts w:ascii="Times New Roman" w:cs="Times New Roman" w:eastAsia="Times New Roman" w:hAnsi="Times New Roman"/>
          <w:sz w:val="18"/>
          <w:szCs w:val="18"/>
          <w:color w:val="auto"/>
        </w:rPr>
        <w:t>: As a phenomenon-level product nurtured by the platform, “Hupu Ratings” is a UGC evaluation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on real user feedback. It has evolved from “player ratings” for each NBA/football game to encompass ratings for e-sports players, equipment reviews, and even various aspects of life. Leveraging the substantial number of active users in the Hupu community, Hupu Ratings reflect the authentic word-of-mouth of the core audience. Players, commentators, and the media frequently cite Hupu Ratings, and its rating results have often trended on the internet. This product possesses a robust capacity to generate internet buzz and has social sharing attributes, effectively assisting brands in transcending topic boundaries. Currently, it stands as the most interactive benchmark product in sports marketing.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Hupu primarily provides advertising placement services and online and offline business promotion through mobile terminals (Hupu APP and other social media). Its monetization strategy mainly consists of brand advertising, performance advertising, game co-operation and lottery recommendation. From June 1, 2025, when Hupu’s financial results were first consolidated into our financial statements, through December 31, 2025, Hupu generated revenue of US$20.1 million, representing 4.4% of our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Xunlei Browser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launched Xunlei Browser in May 2024 which excels in providing users with an exceptional experience across three key scenarios: video streaming, web browsing, and novel reading. We have incorporated our advanced video processing technology into this browser, enabling users to experience seamless playback in less than a second even while using the browser. Additionally, it supports various video formats and offers one-click cloud playback for content from links. Users can enjoy ultra-high definition original images, stable and smooth playback, as well as online subtitles when watching videos on web pages.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cloud computing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historically provided cloud computing services through Shenzhen Onething.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launched the cloud computing project in 2014. To further develop the cloud computing business and at the same time explore emerging blockchain technology, we launched our decentralized cloud computing product, OneThing Cloud, in 2017. OneThing Cloud is a cloud-based storage and sharing device, which crowdsources idle uplink capacity from our users who have bought and connected their OneThing Cloud devices to their network router. Similar to Zhuanqianbao, users of OneThing Cloud can voluntarily share their idle computing resources to us. In 2018, we further advanced our cloud computing business and launched StellarCloud. StellarCloud is a distributed cloud computing platform that integrates the idea of shared economy and blockchain technology with cloud computing technology. In 2019, we further expanded our CDN network by jointly establishing dozens of distributed cloud computing node rooms across China with local IDC and ISP service providers. We installed our OneThing Cloud devices in these locations while local IDC and ISP service providers provide us with internet access and data center management services.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Shenzhen Xunlei entered into definitive agreements to transfer an aggregate 50% equity interest in Shenzhen Onething for an aggregate cash consideration of RMB125 million. Upon completion of the transaction in March 2026, Shenzhen Xunlei retained 20% equity interest in Shenzhen Onething, and we no longer consolidate the financial results of Shenzhen Onething.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 accelerated data transmission services, available on PC and mobile devices, based on our distributed file locating system, designed to utilize our proprietary file indexing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Indexing technology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file indexing technology include: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File indexing</w:t>
      </w:r>
      <w:r>
        <w:rPr>
          <w:rFonts w:ascii="Times New Roman" w:cs="Times New Roman" w:eastAsia="Times New Roman" w:hAnsi="Times New Roman"/>
          <w:sz w:val="18"/>
          <w:szCs w:val="18"/>
          <w:color w:val="auto"/>
        </w:rPr>
        <w:t>. We have created, and continue to maintain, a proprietary file index database that stores a massive index of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signatures representing all digital media content file that Xunlei Accelerator has found across the internet. Each file signature uniquely identifies the index of a given file. We store a list of each unique file’s available data transmission locations from across the internet, which may include both peer and server computers, along with the estimated speed and reliability of each location.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Data mining</w:t>
      </w:r>
      <w:r>
        <w:rPr>
          <w:rFonts w:ascii="Times New Roman" w:cs="Times New Roman" w:eastAsia="Times New Roman" w:hAnsi="Times New Roman"/>
          <w:sz w:val="18"/>
          <w:szCs w:val="18"/>
          <w:color w:val="auto"/>
        </w:rPr>
        <w:t>. We also employ data mining algorithms, studying user habits in order to maximize the speed of our data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ranking the keyword indexes that users search for and placing digital media content more likely to be searched by users in the more easily accessible locations in our network for optimal delivery speed.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Distributed internet crawling techniques</w:t>
      </w:r>
      <w:r>
        <w:rPr>
          <w:rFonts w:ascii="Times New Roman" w:cs="Times New Roman" w:eastAsia="Times New Roman" w:hAnsi="Times New Roman"/>
          <w:sz w:val="18"/>
          <w:szCs w:val="18"/>
          <w:color w:val="auto"/>
        </w:rPr>
        <w:t>. Our Xunlei Accelerator network acts as a system of distributed spiders to crawl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to search for digital media content files. Whenever the user initiates data transmission by using our Xunlei Accelerator, the URL of the data transmission location is uploaded to our server. We then use that URL to traverse and locate any other digital media content files that may also be available from the URL’s internet page repositories. We then update our file index according to each traversal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Distributed file locating system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distributed file locating system is based on distributed computing architecture, which consists of all Xunlei Accelerator clients that are running and connected to the internet at a given time, along with the server addresses stored in our file index database. When users launch Xunlei Accelerator on a network-connected device, they are automatically connected to our distributed file locating system and contribute their bandwidth and computing power to our distributed file locating system, which enables users to locate and connect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128270</wp:posOffset>
            </wp:positionV>
            <wp:extent cx="4749165" cy="2005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4916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technologies include: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Multi-protocol file transfer technology</w:t>
      </w:r>
      <w:r>
        <w:rPr>
          <w:rFonts w:ascii="Times New Roman" w:cs="Times New Roman" w:eastAsia="Times New Roman" w:hAnsi="Times New Roman"/>
          <w:sz w:val="18"/>
          <w:szCs w:val="18"/>
          <w:color w:val="auto"/>
        </w:rPr>
        <w:t>. Our multi-protocol file transfer technology allows our product client to transmit,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parallel, from multiple sources that may use different file transfer protocols. Our multi-protocol file transfer technology significantly increases the number of data transmission sources available to further enhance data transmission performance.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Distributed file locating system</w:t>
      </w:r>
      <w:r>
        <w:rPr>
          <w:rFonts w:ascii="Times New Roman" w:cs="Times New Roman" w:eastAsia="Times New Roman" w:hAnsi="Times New Roman"/>
          <w:sz w:val="18"/>
          <w:szCs w:val="18"/>
          <w:color w:val="auto"/>
        </w:rPr>
        <w:t>. Our distributed file locating system helps users discover the best data transmission locations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across the internet, where a particular file may be transmitted or streamed for optimal performance. When a user requests data transmission using our Xunlei Accelerator, distributed file locating system will algorithmically prioritize and select from among the file’s available data transmission locations an optimized subset of URLs based on their respective transmit speed and reliability, which is estimated through real-time collaborative interactions between our file index server and our massive network of active Xunlei Accelerator clients across the internet.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Network transport and traversal optimization</w:t>
      </w:r>
      <w:r>
        <w:rPr>
          <w:rFonts w:ascii="Times New Roman" w:cs="Times New Roman" w:eastAsia="Times New Roman" w:hAnsi="Times New Roman"/>
          <w:sz w:val="18"/>
          <w:szCs w:val="18"/>
          <w:color w:val="auto"/>
        </w:rPr>
        <w:t>. Our proprietary software algorithms perform dynamic internet bandwidth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throughput assessments across the Xunlei network and optimization of traffic routing to identify the most efficient path for data transport. These algorithms are designed to maximize delivery speed, reliability and efficiency, and support significant growth in network usage.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Cloud-based implementation for subscription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subscription services powered by our indexing technology and distributed file locating system. Our platform is compatible with different operating systems and hardware devices. As part of the infrastructure for the subscription services, except for proprietary load balancing and resource optimization algorithms, we maintain a virtual private network consisting of over one million third-party servers and over 656 servers that we own located throughout China.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proprietary load balancing and resource optimization algorithms, both of which help enhance our mass data mining on user habits to compile and maintain information on users’ data transmission acceleration needs and requirements. As a cloud service provider, we use data mining for user habit prediction and co-location purposes. In user habit prediction, we analyze, sample and index user behavior data to help predict user acceleration needs and requirements. For co-location purposes, our program finds the most efficient and stable connection in our network for each transmission task. We also cooperate with telecom operators, maintaining logics and algorithms for our co-location centers in each telecom operator’s network to enable real-time dynamic allocation of our servers and bandwidth to support user acceleration requirements. Our system automatically optimizes user connections based on key factors such as provincial network, firewall penetration and interconnection among various telecom operators.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entered into framework service agreements with multiple major cloud providers: Alibaba Cloud (December 2018), AWS Tencent Cloud (March 2020), Huawei Cloud (October 2020), and VolcEngine (Huoshan Cloud) (February 2023). All providers have been delivering cloud computing products and services to support our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were using 3,270 cloud servers from Alibaba Cloud via its 3,137 central nodes and 133 edge nodes; 1,423 cloud servers from Tencent Cloud via its 1,423 central nodes; 1,088 cloud servers from Huawei Cloud via its 1,088 central nodes; and 503 cloud servers from VolcEngine via its 481 central nodes and 22 edge nodes.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built up our reputation and maintained our popularity primarily through word of mouth. We believe satisfied users and customers are more likely to recommend our services to others. Thus, we continue to focus on improving our services and enhancing our user experience. In the meantime, we also invest in a variety of marketing activities to further promote our brand awareness among existing and potential users as well as other customers. For example, we host or attend various public relations events, such as seminars, conferences and trade shows, in the advertising, online video and online game industries to attract users and advertisers. To retain and drive the growth of our subscribers, we market our premium paid services and place subscription advertisements at prominent locations throughout our integrated service offerings.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further expand our user reach through ecological promotion on mainstream platforms including mainstream live-streaming platforms, tapping into broader potential user groups with tailored content and efficient traffic conversion. In addition, we carry out product promotion via strategic joint operation with various partners, integrating complementary resource advantages to achieve precise brand exposure and continuous expansion of our user market across different scenarios.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our 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patents, copyrights, trademarks, trade secrets and other intellectual property rights are critical to our business. We rely on a combination of patent, copyright, trademark, trade secret and other intellectual property-related laws in the PRC and contractual restrictions to establish and protect our intellectual property rights. In addition, we require all of our employees to enter into agreements requiring them to keep confidential all information they obtain during the course of their employment relating to our technology, methods, business practices, customers and trade secrets. As of December 31, 2025, we had 445 patents granted in China and four patents granted in the United States, while another 137 patent applications are being examined by the State Intellectual Property Office of the PRC. We also seek to vigorously protect our Xunlei brand and the brands of our other services. As of December 31, 2025, we had 1,315 trademarks registered in different applicable trademark categories in the PRC and three trademark registered with World Intellectual Property Organization. We had applied for registration of 63 trademarks in China.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media data monitoring and copyright protection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take measures to protect third-party copyrights. The internet industry in China suffers from copyright infringement issues and online digital media content providers are frequently involved in litigation based on allegations of infringement or other violations of copyrights. Assisted by an intellectual property team dedicated to copyright protection, we have implemented internal procedures pursuant to the legal requirements under PRC laws and regulations to promptly disable the download URL of content for which we receive notice of infringement from the legitimate rights holder, and we work closely with the regulatory authorities in China to ensure compliance with all rules and regulations.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several initiatives to further commit to copyright protection. We also make available on our websites and mobile applications reporting channels so that we can timely remove content that infringes intellectual property rights of other parties. Despite the preventive measures we put in place, we may still be subject to copyright infringement suits. As of the date of this annual report, we are involved in four pending copyright lawsuits in China. See “Item 3. Key Information—D. Risk Factors—Risks Related to Our Business—The intellectual property protection mechanism we have implemented may not always be effective or sufficient. Certain services we provide to our users have exposed us to and may continue to expose us to copyright infringement claims and other related claims. Any damage awards, injunctive relief and/or court orders could materially and adversely affect our existing business model, divert our management’s attention and adversely impact our business and reputation” and “Item 8. Financial Information—A. Consolidated Statements and Other Financial Information—Legal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 data safety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User data safety is a significant advantage we offer to our users. We try to improve user experience by usually maintaining two to four copies of one specific user file for data recovery in extreme circumstances such as system shutdown, private transmission backbone network problems and/or other contingencies beyond our control. The read and write characteristics of our distributed file locating system are identical to those of hard disks, and our unique user file decomposition and encryption algorithm enables us to maintain high standards for user data safety.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our multiple service offerings, we face competition in several aspects of the internet services market in China. We believe that the key competitive factors in the overall internet services market in China include brand recognition, user traffic, technology platform and monetization abilities. We also face competition for the advertisement budgets of our advertisers from other internet companies and other forms of media.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set forth below a summary of the most significant rules and regulations that affect our business activities in China.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Company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establishment, operation and management of corporate entities in the PRC are governed by the PRC Company Law, which was promulgated by the Standing Committee of the National People’s Congress on December 29, 1993 and last amended on December 29, 2023, with effect from July 1, 2024, or the New PRC Company Law. The New PRC Company Law introduces new requirements on capital contributions, corporate governance, liabilities of directors, supervisors and senior executives, protection of minority shareholders, share transfer and liquidation process, among others.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New PRC Company Law requires shareholders of limited liability companies to fully pay the subscribed capital within five years of the company’s establishment. Failure to comply with such requirements may lead to a loss of equity in the unpaid capital contribution. In certain situations, a company or its creditors can demand immediate fulfillment of the capital contribution obligation from shareholders who have not fully paid, even if the deadline for capital contribution has not yet passed. In addition, the State Council promulgated </w:t>
      </w:r>
      <w:r>
        <w:rPr>
          <w:rFonts w:ascii="Times New Roman" w:cs="Times New Roman" w:eastAsia="Times New Roman" w:hAnsi="Times New Roman"/>
          <w:sz w:val="18"/>
          <w:szCs w:val="18"/>
          <w:i w:val="1"/>
          <w:iCs w:val="1"/>
          <w:color w:val="auto"/>
        </w:rPr>
        <w:t>The Provisions by the State Council on Implementing the Registration Management System of Registered Capital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Law of the People’s Republic of China </w:t>
      </w:r>
      <w:r>
        <w:rPr>
          <w:rFonts w:ascii="Times New Roman" w:cs="Times New Roman" w:eastAsia="Times New Roman" w:hAnsi="Times New Roman"/>
          <w:sz w:val="18"/>
          <w:szCs w:val="18"/>
          <w:color w:val="auto"/>
        </w:rPr>
        <w:t>on July 1, 2024, which allows a three-year transition period for existing companies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its subscribed capital to comply with the New PRC Company Law. The capital contribution of certain of the principal subsidiaries of the variable interest entities have not been fully paid. We will pay the outstanding subscribed capital or take relevant measures to comply with the New PRC Company Law and relevant regulations.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New PRC Company Law also allows replace the supervisory board with an audit committee which is composed of directors, for both limited liability companies and joint-stock companies, in exercising the powers of the supervisory board. Alternatively, a small-scale company or a company with a few shareholders can appoint a single supervisor to exercise the powers of a supervisory board. A limited liability company can opt not to have any supervisor at all, so long as all shareholders unanimously agree. The New PRC Company Law provides more flexibility for companies to distribute powers among the shareholders’ meeting, board of directors and managers. Certain powers previously held by the shareholders’ meetings, such as deciding on the company’s business direction and investment plans, and reviewing and approving the company’s annual financial budget and final accounts, can now be decided by the board of directors or by managers, according to the division of powers in the company’s articles of association.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New PRC Company Law strengthens the obligations of directors, supervisors and senior executives. For instance, the board of directors must verify and call on shareholders’ capital contributions. Directors responsible for this task are liable for compensation if they fail to perform these obligations and cause loss to the company. If a shareholder withdraws its capital contribution, the directors, supervisors and senior executives who are responsible are jointly and severally liable with the shareholders for the losses caused to the company, in addition to the shareholder’s obligation to repay the capital contribution. The directors, supervisors and senior executives are liable for compensation if the financial assistance provided by the company is in violation of the New PRC Company Law and causes losses to the company. For losses caused to others by a director or senior executive during the performance of their duties, the company is liable for compensation. However, if there is intent or gross negligence on the part of the director or senior executive, the person is also liable for compensation.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New PRC Company Law provides the redemption rights of minority shareholders. If the controlling shareholder of a limited liability company misuses its shareholder rights and causes serious harm to the company or other shareholders, the affected shareholders may request the company to repurchase their equity interest at a reasonable price. A foreign-invested company is also subject to the PRC Company Law unless otherwise provided in the foreign investment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catalogue relating to foreign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establishment and operations of wholly foreign-owned enterprises are mainly governed by the PRC Foreign Investment Law, which was enacted by the National People’s Congress on March 15, 2019 and became effective on January 1, 2020. On December 26, 2019, the State Council promulgated the Detailed Rules for </w:t>
      </w:r>
      <w:r>
        <w:rPr>
          <w:rFonts w:ascii="Times New Roman" w:cs="Times New Roman" w:eastAsia="Times New Roman" w:hAnsi="Times New Roman"/>
          <w:sz w:val="18"/>
          <w:szCs w:val="18"/>
          <w:i w:val="1"/>
          <w:iCs w:val="1"/>
          <w:color w:val="auto"/>
        </w:rPr>
        <w:t>the Implementation of the Foreign Investment Law of the PRC</w:t>
      </w:r>
      <w:r>
        <w:rPr>
          <w:rFonts w:ascii="Times New Roman" w:cs="Times New Roman" w:eastAsia="Times New Roman" w:hAnsi="Times New Roman"/>
          <w:sz w:val="18"/>
          <w:szCs w:val="18"/>
          <w:color w:val="auto"/>
        </w:rPr>
        <w:t>, which became effective on January 1, 2020.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Investment activities in the PRC by foreign investors and foreign-invested enterprises are regulated by </w:t>
      </w:r>
      <w:r>
        <w:rPr>
          <w:rFonts w:ascii="Times New Roman" w:cs="Times New Roman" w:eastAsia="Times New Roman" w:hAnsi="Times New Roman"/>
          <w:sz w:val="18"/>
          <w:szCs w:val="18"/>
          <w:i w:val="1"/>
          <w:iCs w:val="1"/>
          <w:color w:val="auto"/>
        </w:rPr>
        <w:t>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Measures (Negative List) for Foreign Investment Access (2024 Version)</w:t>
      </w:r>
      <w:r>
        <w:rPr>
          <w:rFonts w:ascii="Times New Roman" w:cs="Times New Roman" w:eastAsia="Times New Roman" w:hAnsi="Times New Roman"/>
          <w:sz w:val="18"/>
          <w:szCs w:val="18"/>
          <w:color w:val="auto"/>
        </w:rPr>
        <w:t>, or the 2024 Negative List, promulgated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NDRC and the Ministry of Commerce in September, 2024 and effective on November 1, 2024, and </w:t>
      </w:r>
      <w:r>
        <w:rPr>
          <w:rFonts w:ascii="Times New Roman" w:cs="Times New Roman" w:eastAsia="Times New Roman" w:hAnsi="Times New Roman"/>
          <w:sz w:val="18"/>
          <w:szCs w:val="18"/>
          <w:i w:val="1"/>
          <w:iCs w:val="1"/>
          <w:color w:val="auto"/>
        </w:rPr>
        <w:t>the Catalogue of Industries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Encouraging Foreign Investment (2025 Version)</w:t>
      </w:r>
      <w:r>
        <w:rPr>
          <w:rFonts w:ascii="Times New Roman" w:cs="Times New Roman" w:eastAsia="Times New Roman" w:hAnsi="Times New Roman"/>
          <w:sz w:val="18"/>
          <w:szCs w:val="18"/>
          <w:color w:val="auto"/>
        </w:rPr>
        <w:t>, or Encouraging Catalogue (2025 Version), promulgated by the NDRC in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effective on February 1, 2026. Pursuant to the Encouraging Catalogue (2025 Version) and the 2024 Negative List, foreign-invested projects are categorized as encouraged, restricted and prohibited. Foreign-invested projects that are not listed in the Negative list are permitted foreign invested projects.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Establishment of wholly foreign-owned enterprises is generally allowed in industries not included in the 2024 Negative List. For the restricted industries within the 2024 Negative List, some of the industries are limited to equity or contractual joint ventures, while in some cases Chinese partners are required to hold the majority interests in such joint ventures. In addition, restricted category projects are subject to government approvals and certain special requirements. Foreign investors are not allowed to invest in industries in the prohibited category. The provision of value-added telecommunications services falls in the restricted category and the percentage of foreign ownership cannot exceed 50% (excluding e-commerce, domestic multi-party communications, store-and-forward, and call center services). The provision of internet cultural operating service (including online game operation services), internet publication service and online transmission of audio-visual programs service fall in the prohibited category and the foreign investors are prohibited to engage in such services. We conduct our operations primarily in China principally through contractual arrangements among Giganology Shenzhen and Xunlei Computer, our wholly-owned PRC subsidiaries, and Shenzhen Xunlei and Shenzhen Suqu, the variable interests entities, and their respective shareholders. Shenzhen Xunlei or its subsidiaries holds the licenses and permits necessary to conduct our cloud-based acceleration, online advertising, online games and related businesses in China, and Shenzhen Xunlei holds various operating subsidiaries that conduct a majority of our operations in China. Shenzhen Suqu’s subsidiary, Shanghai Kuanghui, holds a Value-added Telecommunication Services License and an Internet Cultural Business License, to operate Hupu. Both of Giganology Shenzhen and Xunlei Computer engage in the development of computer software, technical consulting and other related technical services and businesses, none of which falls into any of restricted or prohibited categories under the 2024 Negative List. Hence, these activities operated by Giganology Shenzhen and Xunlei Computer are deemed to be permitted and open to foreign investment.</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Ministry of Commerce and the State Administration for Market Regulation issued </w:t>
      </w:r>
      <w:r>
        <w:rPr>
          <w:rFonts w:ascii="Times New Roman" w:cs="Times New Roman" w:eastAsia="Times New Roman" w:hAnsi="Times New Roman"/>
          <w:sz w:val="18"/>
          <w:szCs w:val="18"/>
          <w:i w:val="1"/>
          <w:iCs w:val="1"/>
          <w:color w:val="auto"/>
        </w:rPr>
        <w:t>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of Foreign Investment Information</w:t>
      </w:r>
      <w:r>
        <w:rPr>
          <w:rFonts w:ascii="Times New Roman" w:cs="Times New Roman" w:eastAsia="Times New Roman" w:hAnsi="Times New Roman"/>
          <w:sz w:val="18"/>
          <w:szCs w:val="18"/>
          <w:color w:val="auto"/>
        </w:rPr>
        <w:t>, effective on January 1, 2020, pursuant to which where foreign investors carry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activities directly or indirectly within China, foreign investors or foreign-funded enterprises shall report investment information to commerce departments.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telecommunications and internet information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telecommunications industry, including the internet sector, is highly regulated in the PRC. Regulations issued or implemented by the State Council, Ministry of Industry and Information Technology and other government authorities cover many aspects of operation of telecommunications and internet information services, including entry into the telecommunications industry, the scope of permissible business activities, licenses and permits for various business activities and foreign investment.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regulations governing the telecommunications and internet information services we provide in the PRC include:</w:t>
      </w:r>
    </w:p>
    <w:p>
      <w:pPr>
        <w:spacing w:after="0" w:line="223" w:lineRule="exact"/>
        <w:rPr>
          <w:sz w:val="20"/>
          <w:szCs w:val="20"/>
          <w:color w:val="auto"/>
        </w:rPr>
      </w:pPr>
    </w:p>
    <w:p>
      <w:pPr>
        <w:jc w:val="both"/>
        <w:ind w:left="1000" w:hanging="317"/>
        <w:spacing w:after="0" w:line="253"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Telecommunications Regulations </w:t>
      </w:r>
      <w:r>
        <w:rPr>
          <w:rFonts w:ascii="Times New Roman" w:cs="Times New Roman" w:eastAsia="Times New Roman" w:hAnsi="Times New Roman"/>
          <w:sz w:val="18"/>
          <w:szCs w:val="18"/>
          <w:color w:val="auto"/>
        </w:rPr>
        <w:t>(2016, revised). The Telecommunications Regulations categorize all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businesses in the PRC as either basic or value-added. Value-added telecommunications services are defined as telecommunications and information services provided through public network infrastructures. The “Catalogue of Telecommunications Business,” an attachment to the Telecommunications Regulations, as updated by </w:t>
      </w:r>
      <w:r>
        <w:rPr>
          <w:rFonts w:ascii="Times New Roman" w:cs="Times New Roman" w:eastAsia="Times New Roman" w:hAnsi="Times New Roman"/>
          <w:sz w:val="18"/>
          <w:szCs w:val="18"/>
          <w:i w:val="1"/>
          <w:iCs w:val="1"/>
          <w:color w:val="auto"/>
        </w:rPr>
        <w:t>the 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Adjusting the Catalogue of Telecommunications Business</w:t>
      </w:r>
      <w:r>
        <w:rPr>
          <w:rFonts w:ascii="Times New Roman" w:cs="Times New Roman" w:eastAsia="Times New Roman" w:hAnsi="Times New Roman"/>
          <w:sz w:val="18"/>
          <w:szCs w:val="18"/>
          <w:color w:val="auto"/>
        </w:rPr>
        <w:t>, which became effective from April 1, 2003 and was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 2016, categorizes various types of telecommunications and telecommunications-related activities into basic or value-added telecommunications services, according to which, internet content provider services, or ICP services, are classified under the second category of value-added telecommunications businesses and the CDN services, the internet access services and the internet data center services are classified under the first category of value-added telecommunications business. Under the Telecommunications Regulations, commercial operators of value-added telecommunications services must obtain the Value-added Telecommunication Services License covering the business classified under the relevant category from Ministry of Industry and Information Technology or its provincial level counterparts.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Administrative Measures on Internet Information Services </w:t>
      </w:r>
      <w:r>
        <w:rPr>
          <w:rFonts w:ascii="Times New Roman" w:cs="Times New Roman" w:eastAsia="Times New Roman" w:hAnsi="Times New Roman"/>
          <w:sz w:val="18"/>
          <w:szCs w:val="18"/>
          <w:color w:val="auto"/>
        </w:rPr>
        <w:t>(2024, revised). According to these administrative measures,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ICP service operator must obtain a Value-added Telecommunication Services License from the government authorities before engaging in any commercial ICP service within the PRC. When the ICP service involves areas of news, publication, education, medical treatment, health, pharmaceuticals, medical equipment and other industry and if required by law or regulations, prior approval from the respective regulating authorities must be obtained prior to applying for the Value-added Telecommunication Services License covering the ICP services from the Ministry of Industry and Information Technology or its local branch at the provincial level. Moreover, an ICP service operator must display its ICP license number in a conspicuous location on its website and must monitor its website to remove categories of harmful content that are broadly defined.</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Administrative Measures for Telecommunications Business Operating License </w:t>
      </w:r>
      <w:r>
        <w:rPr>
          <w:rFonts w:ascii="Times New Roman" w:cs="Times New Roman" w:eastAsia="Times New Roman" w:hAnsi="Times New Roman"/>
          <w:sz w:val="18"/>
          <w:szCs w:val="18"/>
          <w:color w:val="auto"/>
        </w:rPr>
        <w:t>(2017, revised). These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set forth more specific provisions regarding the types of licenses required to operate value-added telecommunications services, the qualifications and procedures for obtaining such licenses and the administration and supervision of such licenses. For example, an ICP service operator conducting business within a single province must apply for the Value-added Telecommunication Services License from applicable provincial level counterparts of the Ministry of Industry and Information Technology, while an ICP service operator providing ICP services across provinces must apply for a Trans-regional Value-added Telecommunication Services License directly from the Ministry of Industry and Information Technology. The appendix to the Value-added Telecommunication Services License must specify the permitted activities to be conducted by the ICP service operator. An approved ICP service operator must conduct its business in accordance with the specifications recorded on its Value-added Telecommunication Services License. The Value-added Telecommunication Services License is subject to annual report requirement. An ICP service operator shall report certain information to the issuing authorities through the administrative platform in the first quarter every year. Such information includes the business performance of the telecommunications business in the previous year, service quality, the actual implementation of the network and information security guarantee systems and measures, among others. ICP service operator shall be responsible for the truthfulness of the information in the annual report.</w:t>
      </w:r>
    </w:p>
    <w:p>
      <w:pPr>
        <w:spacing w:after="0" w:line="195"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Detailed Rules on the Administration of Internet Websites </w:t>
      </w:r>
      <w:r>
        <w:rPr>
          <w:rFonts w:ascii="Times New Roman" w:cs="Times New Roman" w:eastAsia="Times New Roman" w:hAnsi="Times New Roman"/>
          <w:sz w:val="18"/>
          <w:szCs w:val="18"/>
          <w:color w:val="auto"/>
        </w:rPr>
        <w:t>(2005), which set forth that the website operator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for the ICP filing from the Ministry of Industry and Information Technology or its local branches at the provincial level on its own or through the access service provider.</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Provisions on Administration of Foreign-invested Telecommunications Enterprises </w:t>
      </w:r>
      <w:r>
        <w:rPr>
          <w:rFonts w:ascii="Times New Roman" w:cs="Times New Roman" w:eastAsia="Times New Roman" w:hAnsi="Times New Roman"/>
          <w:sz w:val="18"/>
          <w:szCs w:val="18"/>
          <w:color w:val="auto"/>
        </w:rPr>
        <w:t>(2022, revised). These provisions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detailed requirements with respect to capitalization, investor qualifications and application procedures in connection with the establishment of a foreign-invested telecommunications enterprise. Under these provisions, a foreign entity is prohibited from owning more than 50% of the total equity interest in any value-added telecommunications service business in the PRC.</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Circular on Strengthening the Administration of Foreign Investment in and Operation of Value-added Telecommunications Business </w:t>
      </w:r>
      <w:r>
        <w:rPr>
          <w:rFonts w:ascii="Times New Roman" w:cs="Times New Roman" w:eastAsia="Times New Roman" w:hAnsi="Times New Roman"/>
          <w:sz w:val="18"/>
          <w:szCs w:val="18"/>
          <w:color w:val="auto"/>
        </w:rPr>
        <w:t>(2006). Under this circular, a domestic PRC company that holds a Value-added Telecommunication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is prohibited from leasing, transferring or selling this license to foreign investors in any form, and from providing any assistance, including providing resources, sites or facilities, to foreign investors that conduct value-added telecommunications business illegally in the PRC. Further, the domain names and registered trademarks used by an operating company providing value-added telecommunications service shall be legally owned by such company and/or its shareholders. In addition, such company’s operation premises and equipment should comply with the approved covering region on its Value-added Telecommunication Services License, and such company should establish and improve its internal internet and information security policies and standards and emergency management procedures.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Circular of the Ministry of Industry and Information Technology on Clearing up and Regulating the Internet Access Service Market </w:t>
      </w:r>
      <w:r>
        <w:rPr>
          <w:rFonts w:ascii="Times New Roman" w:cs="Times New Roman" w:eastAsia="Times New Roman" w:hAnsi="Times New Roman"/>
          <w:sz w:val="18"/>
          <w:szCs w:val="18"/>
          <w:color w:val="auto"/>
        </w:rPr>
        <w:t>(2017), which further strengthens the supervision and management of the applications of cloud computing, big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applications. For an enterprise that conducts the CDN business without a Value-added Telecommunication Services License specifically covering such business, it must submit a written commitment to the original license issuing authority before March 31, 2017, undertaking that an eligible Value-added Telecommunication Services License will be obtained by the end of 2017. If such enterprise fails to make the commitment on time, it must carry out business activities strictly in compliance with their existing licenses. Furthermore, if the enterprise fails to obtain this license as committed, it should terminate the business starting from January 1, 2018.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Provisions on the Governance of Cyberviolence Information </w:t>
      </w:r>
      <w:r>
        <w:rPr>
          <w:rFonts w:ascii="Times New Roman" w:cs="Times New Roman" w:eastAsia="Times New Roman" w:hAnsi="Times New Roman"/>
          <w:sz w:val="18"/>
          <w:szCs w:val="18"/>
          <w:color w:val="auto"/>
        </w:rPr>
        <w:t>(2024), which require network information service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take primary responsibility for managing online content by establishing mechanisms for cyberviolence governance. It requires network information service providers to implement systems for user registration, account management, personal information protection, content review, monitoring, and early warnings to identify and address cyberviolence information, and take measures such as deleting, shielding, and disconnecting links, keep relevant records, and report the case to relevant authorities for cyberviolence illegal information.</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Circular on Launching the Pilot Program of Expanding the Opening-up of Value-Added Telecommunications Services</w:t>
      </w:r>
      <w:r>
        <w:rPr>
          <w:rFonts w:ascii="Times New Roman" w:cs="Times New Roman" w:eastAsia="Times New Roman" w:hAnsi="Times New Roman"/>
          <w:sz w:val="18"/>
          <w:szCs w:val="18"/>
          <w:color w:val="auto"/>
        </w:rPr>
        <w:t>(2024), which states that in certain pilot areas, the foreign shareholding restrictions on (i) the internet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(IDC), (ii) the content delivery network (CDN), (iii) the internet service providers, (iv) the online data processing and transaction processing, (v) the information dissemination platform and delivery services (but excluding internet news information services, online publishing services, online audio-visual services, and internet cultural services), and (vi) the information protection and processing services will be removed. These pilot areas include Beijing Comprehensive Demonstration Zone for Expanding Opening-up in the Service Sector, the Lin-Gang Special Area of Shanghai Pilot Free Trade Zone and the Pioneering Area in Socialist Modernization, the Hainan Free Trade Port, and the Shenzhen Pilot Demonstration Area of Socialism with Chinese Characteristics. This circular also clarifies the foreign invested telecommunication enterprise that intends to provide the aforesaid value-added telecommunications services in the pilot areas shall apply to the MIIT for obtaining the official approval of the pilot program of telecommunications services, comply with the applicable laws and regulations when providing telecommunications services, and accept and cooperate with the supervision and administration of the telecommunication administrations and the relevant competent authorities.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comply with these PRC laws and regulations, we operate our websites through Shenzhen Xunlei, a variable interest entity incorporated in the PRC. We, through Shenzhen Xunlei, currently hold a Value-added Telecommunication Services License covering its ICP services expiring on April 30, 2030 and another Value-added Telecommunication Services License for its provision of could computing services including internet data center services and internet access services expiring on June 26, 2026, and own the essential trademarks and domain names in relation to our value-added telecommunications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completed the acquisition of Shanghai Kuanghui, which operates Hupu, in May 2025. Hupu is a leading sports media and data platform in China. Shanghai Kuanghui currently holds a Value-added Telecommunication Services License covering its ICP services expiring on August 13, 2026 and internet cultural business license for its provision of community platform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laws and regulations governing ICP services, ICP services operators are required to monitor their websites. They may not produce, duplicate, post or disseminate any content that falls within the prohibited categories and must remove any such content from their websites, including any content that:</w:t>
      </w:r>
    </w:p>
    <w:p>
      <w:pPr>
        <w:spacing w:after="0" w:line="176"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determined in the PRC’s Constitution;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state security, divulges state secrets, subverts state power or damages national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sabotages the PRC’s religious policy or propagates heretical teachings or feudal superstitions;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propagates obscenity, pornography, gambling, violence, murder or fear or incites the commission of crimes;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content prohibited by laws or administrative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government may shut down the websites of the holders of Value-added Telecommunication Services License that violate any of such content restrictions and requirement, revoke their Value-added Telecommunication Services Licenses or impose other penalties pursuant to applicable law. To comply with these PRC laws and regulations, we have adopted internal procedures to monitor content displayed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online transmission of audio-visual programs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April 13, 2005, the State Council promulgated the </w:t>
      </w:r>
      <w:r>
        <w:rPr>
          <w:rFonts w:ascii="Times New Roman" w:cs="Times New Roman" w:eastAsia="Times New Roman" w:hAnsi="Times New Roman"/>
          <w:sz w:val="18"/>
          <w:szCs w:val="18"/>
          <w:i w:val="1"/>
          <w:iCs w:val="1"/>
          <w:color w:val="auto"/>
        </w:rPr>
        <w:t>Certain Decisions on the Entry of the Non-State-owned Capital into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Cultural Industry</w:t>
      </w:r>
      <w:r>
        <w:rPr>
          <w:rFonts w:ascii="Times New Roman" w:cs="Times New Roman" w:eastAsia="Times New Roman" w:hAnsi="Times New Roman"/>
          <w:sz w:val="18"/>
          <w:szCs w:val="18"/>
          <w:color w:val="auto"/>
        </w:rPr>
        <w:t>. On July 6, 2005, the Ministry of Culture, the GAPPRFT, the NDRC and the Ministry of Commerce jointly adopted</w:t>
      </w:r>
      <w:r>
        <w:rPr>
          <w:rFonts w:ascii="Times New Roman" w:cs="Times New Roman" w:eastAsia="Times New Roman" w:hAnsi="Times New Roman"/>
          <w:sz w:val="18"/>
          <w:szCs w:val="18"/>
          <w:i w:val="1"/>
          <w:iCs w:val="1"/>
          <w:color w:val="auto"/>
        </w:rPr>
        <w:t xml:space="preserve"> the Several Opinions on Canvassing Foreign Investment into the Cultural Sector</w:t>
      </w:r>
      <w:r>
        <w:rPr>
          <w:rFonts w:ascii="Times New Roman" w:cs="Times New Roman" w:eastAsia="Times New Roman" w:hAnsi="Times New Roman"/>
          <w:sz w:val="18"/>
          <w:szCs w:val="18"/>
          <w:color w:val="auto"/>
        </w:rPr>
        <w:t>. According to these regulations, non-State-owned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foreign investors are not allowed to conduct the business of transmitting audio-visual programs via information network. On April 25, 2016, the State Administration of Press, Publication, Radio, Film and Television, or SAPPRFT, issued the </w:t>
      </w:r>
      <w:r>
        <w:rPr>
          <w:rFonts w:ascii="Times New Roman" w:cs="Times New Roman" w:eastAsia="Times New Roman" w:hAnsi="Times New Roman"/>
          <w:sz w:val="18"/>
          <w:szCs w:val="18"/>
          <w:i w:val="1"/>
          <w:iCs w:val="1"/>
          <w:color w:val="auto"/>
        </w:rPr>
        <w:t>Administrative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Audio-Visual Program Services through Private Network and Targeted Communication</w:t>
      </w:r>
      <w:r>
        <w:rPr>
          <w:rFonts w:ascii="Times New Roman" w:cs="Times New Roman" w:eastAsia="Times New Roman" w:hAnsi="Times New Roman"/>
          <w:sz w:val="18"/>
          <w:szCs w:val="18"/>
          <w:color w:val="auto"/>
        </w:rPr>
        <w:t>, with the most recent amendment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National Radio and Television Administration and becoming effective on March 23, 2021. Pursuant to these provisions, “audio-visual program services through private network and targeted communication” refer to television, mobile phones and other kinds of fixed and mobile electronic equipment as terminal recipients, and through setting up virtual private network through local networks and internet or with Internet and other information networks as targeted transmission channels, oriented to the public to provide audio-visual program service activities, such as radio and television programs conducted by such forms as internet protocol television (IPTV), private network mobile TV, internet TV, and other forms of content provision, integrated broadcast control, transmission and distribution activities. Any provider who engages in aforesaid service must obtain a license from the National Radio and Television Administration. Foreign-invested enterprises are not allowed to engage in the above business.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December 20, 2007, GAPPRFT and Ministry of Industry and Information Technology jointly promulgated the </w:t>
      </w:r>
      <w:r>
        <w:rPr>
          <w:rFonts w:ascii="Times New Roman" w:cs="Times New Roman" w:eastAsia="Times New Roman" w:hAnsi="Times New Roman"/>
          <w:sz w:val="18"/>
          <w:szCs w:val="18"/>
          <w:i w:val="1"/>
          <w:iCs w:val="1"/>
          <w:color w:val="auto"/>
        </w:rPr>
        <w:t>Administrative Provisions on Internet Audio-visual Program Service</w:t>
      </w:r>
      <w:r>
        <w:rPr>
          <w:rFonts w:ascii="Times New Roman" w:cs="Times New Roman" w:eastAsia="Times New Roman" w:hAnsi="Times New Roman"/>
          <w:sz w:val="18"/>
          <w:szCs w:val="18"/>
          <w:color w:val="auto"/>
        </w:rPr>
        <w:t>, which came into effect on January 31, 2008 and was revised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August 28, 2015. These provisions apply to the provision of audio-visual program services to the public via internet (including mobile network) within the territory of the PRC. Providers of internet audio-visual program services are required to obtain a License for Online Transmission of Audio-visual Programs issued by GAPPRFT or complete certain registration procedures with GAPPRFT. Providers of internet audio-visual program services are generally required to be either State-owned or State-controlled by the PRC government, and the business to be carried out by such providers must satisfy the overall planning and guidance catalog for internet audiovisual program services determined by GAPPRFT. In a press conference jointly held by GAPPRFT and Ministry of Industry and Information Technology to answer questions with respect to the Audio-visual Program Provisions in February 2008, GAPPRFT and Ministry of Industry and Information Technology clarified that providers of internet audio-visual program services who engaged in such services prior to the promulgation of these provisions shall be eligible to register their business and continue their operation of internet audio-visual program services so long as those providers had not been in violation of the laws and regulations. On March 10, 2017, SAPPRFT promulgated the </w:t>
      </w:r>
      <w:r>
        <w:rPr>
          <w:rFonts w:ascii="Times New Roman" w:cs="Times New Roman" w:eastAsia="Times New Roman" w:hAnsi="Times New Roman"/>
          <w:sz w:val="18"/>
          <w:szCs w:val="18"/>
          <w:i w:val="1"/>
          <w:iCs w:val="1"/>
          <w:color w:val="auto"/>
        </w:rPr>
        <w:t>Categories of the Internet Audio-Video Program Services</w:t>
      </w:r>
      <w:r>
        <w:rPr>
          <w:rFonts w:ascii="Times New Roman" w:cs="Times New Roman" w:eastAsia="Times New Roman" w:hAnsi="Times New Roman"/>
          <w:sz w:val="18"/>
          <w:szCs w:val="18"/>
          <w:color w:val="auto"/>
        </w:rPr>
        <w:t>, which classifies internet audio-video programs into four categories.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April 8, 2008, GAPPRFT issued a </w:t>
      </w:r>
      <w:r>
        <w:rPr>
          <w:rFonts w:ascii="Times New Roman" w:cs="Times New Roman" w:eastAsia="Times New Roman" w:hAnsi="Times New Roman"/>
          <w:sz w:val="18"/>
          <w:szCs w:val="18"/>
          <w:i w:val="1"/>
          <w:iCs w:val="1"/>
          <w:color w:val="auto"/>
        </w:rPr>
        <w:t>Notice on Relevant Issues Concerning Application and Approval of License for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Transmission of Audio-visual Programs</w:t>
      </w:r>
      <w:r>
        <w:rPr>
          <w:rFonts w:ascii="Times New Roman" w:cs="Times New Roman" w:eastAsia="Times New Roman" w:hAnsi="Times New Roman"/>
          <w:sz w:val="18"/>
          <w:szCs w:val="18"/>
          <w:color w:val="auto"/>
        </w:rPr>
        <w:t>, which further sets forth detailed provisions concerning the application and approval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regarding the License for Online Transmission of Audio-visual Programs. This notice also provides that providers of internet audio-visual program services who engaged in such services prior to the promulgation of the </w:t>
      </w:r>
      <w:r>
        <w:rPr>
          <w:rFonts w:ascii="Times New Roman" w:cs="Times New Roman" w:eastAsia="Times New Roman" w:hAnsi="Times New Roman"/>
          <w:sz w:val="18"/>
          <w:szCs w:val="18"/>
          <w:i w:val="1"/>
          <w:iCs w:val="1"/>
          <w:color w:val="auto"/>
        </w:rPr>
        <w:t xml:space="preserve">Administrative Provisions on Internet Audio-visual Program Service </w:t>
      </w:r>
      <w:r>
        <w:rPr>
          <w:rFonts w:ascii="Times New Roman" w:cs="Times New Roman" w:eastAsia="Times New Roman" w:hAnsi="Times New Roman"/>
          <w:sz w:val="18"/>
          <w:szCs w:val="18"/>
          <w:color w:val="auto"/>
        </w:rPr>
        <w:t>shall also be eligible to apply for the license so long as their violation of the laws and regulations is minor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 be rectified timely and they have no records of violation during the latest three months prior to the promulgation of the </w:t>
      </w:r>
      <w:r>
        <w:rPr>
          <w:rFonts w:ascii="Times New Roman" w:cs="Times New Roman" w:eastAsia="Times New Roman" w:hAnsi="Times New Roman"/>
          <w:sz w:val="18"/>
          <w:szCs w:val="18"/>
          <w:i w:val="1"/>
          <w:iCs w:val="1"/>
          <w:color w:val="auto"/>
        </w:rPr>
        <w:t>Administrative Provisions on Internet Audio-visual Program Service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December 28, 2007, GAPPRFT issued </w:t>
      </w:r>
      <w:r>
        <w:rPr>
          <w:rFonts w:ascii="Times New Roman" w:cs="Times New Roman" w:eastAsia="Times New Roman" w:hAnsi="Times New Roman"/>
          <w:sz w:val="18"/>
          <w:szCs w:val="18"/>
          <w:i w:val="1"/>
          <w:iCs w:val="1"/>
          <w:color w:val="auto"/>
        </w:rPr>
        <w:t>the Notice on Strengthening the Administration of TV Dramas and Films Transmitted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According to this notice, if audio-visual programs published to the public through an information network fall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 and drama category, the requirements of the Permit for Issuance of TV Dramas, Permit for Public Projection of Films, Permit for Issuance of Cartoons or academic literature movies and Permit for Public Projection of Academic Literature Movies and TV Plays apply accordingly. In addition, providers of such services should obtain prior consents from copyright owners of all such audio-visual programs.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Further, on March 30, 2009, GAPPRFT issued the </w:t>
      </w:r>
      <w:r>
        <w:rPr>
          <w:rFonts w:ascii="Times New Roman" w:cs="Times New Roman" w:eastAsia="Times New Roman" w:hAnsi="Times New Roman"/>
          <w:sz w:val="18"/>
          <w:szCs w:val="18"/>
          <w:i w:val="1"/>
          <w:iCs w:val="1"/>
          <w:color w:val="auto"/>
        </w:rPr>
        <w:t>Notice on Strengthening the Administration of the Content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Audiovisual Programs</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i w:val="1"/>
          <w:iCs w:val="1"/>
          <w:color w:val="auto"/>
        </w:rPr>
        <w:t xml:space="preserve"> Notice on Content of A/V Programs</w:t>
      </w:r>
      <w:r>
        <w:rPr>
          <w:rFonts w:ascii="Times New Roman" w:cs="Times New Roman" w:eastAsia="Times New Roman" w:hAnsi="Times New Roman"/>
          <w:sz w:val="18"/>
          <w:szCs w:val="18"/>
          <w:color w:val="auto"/>
        </w:rPr>
        <w:t>, which reiterates the requirement of obtaining the permit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audiovisual programs to be published to the public through information network and prohibits certain types of internet audiovisual programs containing violence, pornography, gambling, terrorism, superstition or other hazardous factors. In addition, on August 11, 2009, GAPPRFT issued </w:t>
      </w:r>
      <w:r>
        <w:rPr>
          <w:rFonts w:ascii="Times New Roman" w:cs="Times New Roman" w:eastAsia="Times New Roman" w:hAnsi="Times New Roman"/>
          <w:sz w:val="18"/>
          <w:szCs w:val="18"/>
          <w:i w:val="1"/>
          <w:iCs w:val="1"/>
          <w:color w:val="auto"/>
        </w:rPr>
        <w:t>the Notice on Relevant Issues Regarding Strengthening of the Administration of Internet Audio/visual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Received by Television Terminals</w:t>
      </w:r>
      <w:r>
        <w:rPr>
          <w:rFonts w:ascii="Times New Roman" w:cs="Times New Roman" w:eastAsia="Times New Roman" w:hAnsi="Times New Roman"/>
          <w:sz w:val="18"/>
          <w:szCs w:val="18"/>
          <w:color w:val="auto"/>
        </w:rPr>
        <w:t>, which specifies that prior to providing audio-visual program services for television terminals,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ICP service operator shall obtain the License for Online Transmission of Audio-visual Programs containing the scope of “Integration and Operation Services of Audiovisual Programs Received by Television Terminals.”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To comply with these laws and regulations, Henan Tourism Information Co., Ltd., or Henan Tourism, one of our subsidiaries in the PRC, currently holds a License for Online Transmission of Audio-visual Programs, which will expire on February 28, 2027. However, Shenzhen Xunlei, the entity that provides our video content display services, is not a registered owner of the license for online transmission of audio-visual programs. In addition, Shanghai Kuanghui does not currently possess a license for the online transmission of audio-visual program. As a result, it is possible that PRC government authorities could determine that these businesses are operating without sufficient license. In addition, the </w:t>
      </w:r>
      <w:r>
        <w:rPr>
          <w:rFonts w:ascii="Times New Roman" w:cs="Times New Roman" w:eastAsia="Times New Roman" w:hAnsi="Times New Roman"/>
          <w:sz w:val="18"/>
          <w:szCs w:val="18"/>
          <w:i w:val="1"/>
          <w:iCs w:val="1"/>
          <w:color w:val="auto"/>
        </w:rPr>
        <w:t>Notice on Strengthening the Management of Online Show Live-streaming and E-commerce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Live-streaming </w:t>
      </w:r>
      <w:r>
        <w:rPr>
          <w:rFonts w:ascii="Times New Roman" w:cs="Times New Roman" w:eastAsia="Times New Roman" w:hAnsi="Times New Roman"/>
          <w:sz w:val="18"/>
          <w:szCs w:val="18"/>
          <w:color w:val="auto"/>
        </w:rPr>
        <w:t>requests all online shows and e-commerce to file with the National Internet Audio-Visual Platforms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System before November 30, 2020. Shanghai Kuanghui has submitted the application for such registration which is currently under the review by the authority. However, the practice of such filings varies at the provincial levels of Radio and Television Administration, which are in charge of such registration. There is uncertainty as to whether we will be required to complete the registration in the future and we cannot assure you that we will successfully complete the registration in a timely manner, or at all We may be required to obtain additional licenses, permits, filings or approvals for the functions and services of our platform in the future. See “Item 3. Key Information—D. Risk Factors—Risks Related to Our Business —We are strictly regulated in China. Any lack of requisite licenses or permits applicable to our businesses or to our third-party services providers and any changes in government policies or regulations may have a material and adverse impact on our businesses,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online live-streaming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4, 2016, the Cyberspace Administration of China promulgated the </w:t>
      </w:r>
      <w:r>
        <w:rPr>
          <w:rFonts w:ascii="Times New Roman" w:cs="Times New Roman" w:eastAsia="Times New Roman" w:hAnsi="Times New Roman"/>
          <w:sz w:val="18"/>
          <w:szCs w:val="18"/>
          <w:i w:val="1"/>
          <w:iCs w:val="1"/>
          <w:color w:val="auto"/>
        </w:rPr>
        <w:t>Regulations on the Administration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Live-streaming Services</w:t>
      </w:r>
      <w:r>
        <w:rPr>
          <w:rFonts w:ascii="Times New Roman" w:cs="Times New Roman" w:eastAsia="Times New Roman" w:hAnsi="Times New Roman"/>
          <w:sz w:val="18"/>
          <w:szCs w:val="18"/>
          <w:color w:val="auto"/>
        </w:rPr>
        <w:t>, which became effective on December 1, 2016. These regulations provide that online live-streaming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and distributors must legally obtain the qualification for internet news information services before providing such services on the internet, and engage in online news information services only to the licensed extent. Online live-streaming service providers must review all live internet news information and interactions before publishing them, and set up their “chief editor” position if they provide live-streaming services of internet news information. These regulations also stipulate that online live-streaming service providers must carry out their subject responsibility, arrange professionals commensurate with its service size, establish and improve various management systems, and have the technical capability to immediately cut online live-streaming, and its technical plans shall comply with national standards. In addition, online live-streaming service providers must conduct graded and categorized management according to the content category and user scale of online live-streaming, and establish a credit rating management system for online live-streaming distributors as well as a blacklist management system.</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August 1, 2018, the Ministry of Industry and Information Technology, the Ministry of Public Security and other PRC government agencies jointly issued the </w:t>
      </w:r>
      <w:r>
        <w:rPr>
          <w:rFonts w:ascii="Times New Roman" w:cs="Times New Roman" w:eastAsia="Times New Roman" w:hAnsi="Times New Roman"/>
          <w:sz w:val="18"/>
          <w:szCs w:val="18"/>
          <w:i w:val="1"/>
          <w:iCs w:val="1"/>
          <w:color w:val="auto"/>
        </w:rPr>
        <w:t>Notice on Strengthening the Administration of Internet Live-streaming Services</w:t>
      </w:r>
      <w:r>
        <w:rPr>
          <w:rFonts w:ascii="Times New Roman" w:cs="Times New Roman" w:eastAsia="Times New Roman" w:hAnsi="Times New Roman"/>
          <w:sz w:val="18"/>
          <w:szCs w:val="18"/>
          <w:color w:val="auto"/>
        </w:rPr>
        <w:t>, which specifies respective duties of online live-streaming service providers, network access service providers and application stores, aiming to prompt internet-based enterprises to fulfill their responsibilities. This circular provides that an online live-streaming service provider must make a record filing with the competent telecommunications authority as an internet content provider. Online live-streaming service providers are also required to apply for a permit with the local authorities if they engage in telecommunications business, live-streaming business for internet news information, online performance, and/or online visual-audio programs. Online live-streaming service providers must make record filings with the local public security authorities within 30 days after live-streaming services have been published on the internet. In addition, online live-streaming service providers are required to implement a real name verification system for users, intensify administration of online anchors, establish a blacklist system for online anchors, optimize their system for watching and censoring live-streamed content for regulatory purposes, and improve measures to better respond to harmful content.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12, 2020, the National Radio and Television Administration issued </w:t>
      </w:r>
      <w:r>
        <w:rPr>
          <w:rFonts w:ascii="Times New Roman" w:cs="Times New Roman" w:eastAsia="Times New Roman" w:hAnsi="Times New Roman"/>
          <w:sz w:val="18"/>
          <w:szCs w:val="18"/>
          <w:i w:val="1"/>
          <w:iCs w:val="1"/>
          <w:color w:val="auto"/>
        </w:rPr>
        <w:t>the Notice on Strengthening the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Online Show Live-streaming and E-commerce Live-streaming</w:t>
      </w:r>
      <w:r>
        <w:rPr>
          <w:rFonts w:ascii="Times New Roman" w:cs="Times New Roman" w:eastAsia="Times New Roman" w:hAnsi="Times New Roman"/>
          <w:sz w:val="18"/>
          <w:szCs w:val="18"/>
          <w:color w:val="auto"/>
        </w:rPr>
        <w:t>, pursuant to which live-streaming platforms for online shows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to strengthen positive value guidance and enable tasteful, meaningful, interesting and warm live-streaming programs to have good traffic, and to prevent the spread of the trends of wealth flaunting, money worshiping and vulgarity. This notice requests live-streaming platforms for online shows and e-commerce to register with the National Internet Audio-Visual Platforms Information Management System. To date, we are still in process of making the application for such registration for our live-streaming business. In addition, the number of content reviewers a platform is required to keep must in principle be no less than 1:50 of the number of live-streaming rooms. Live-streaming platforms for online shows need to manage the hosts and users making virtual gifting based on the real-name registration system, and users who have not registered with real names or who are minors are prohibited from virtual gifting. The live-streaming platforms are required to implement real-name registration system by real-name verification, face recognition, manual review and other measures to prevent minors from virtual gifting. The platform shall limit the maximum amount of rewards each user may give per time, day and month. Live-streaming platforms for e-commerce shall not illegally produce and broadcast, beyond their business scope of e-commerce, any commentary programs unrelated to sales of goods.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February 9, 2021, the Cyberspace Administration of China and six other PRC governmental authorities jointly issued the </w:t>
      </w:r>
      <w:r>
        <w:rPr>
          <w:rFonts w:ascii="Times New Roman" w:cs="Times New Roman" w:eastAsia="Times New Roman" w:hAnsi="Times New Roman"/>
          <w:sz w:val="18"/>
          <w:szCs w:val="18"/>
          <w:i w:val="1"/>
          <w:iCs w:val="1"/>
          <w:color w:val="auto"/>
        </w:rPr>
        <w:t>Circular on Issuing the Guiding Opinions on Strengthening Standardized Management of Online Live-streaming</w:t>
      </w:r>
      <w:r>
        <w:rPr>
          <w:rFonts w:ascii="Times New Roman" w:cs="Times New Roman" w:eastAsia="Times New Roman" w:hAnsi="Times New Roman"/>
          <w:sz w:val="18"/>
          <w:szCs w:val="18"/>
          <w:color w:val="auto"/>
        </w:rPr>
        <w:t>, according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live-streaming platforms shall strictly abide by laws and regulations and state provisions when providing live-streaming information services; strictly fulfill their live online platform statutory duties and implement live webcast listing platform main body responsibility, control network broadcast industry main issues list to establish and strictly implement that the editor in chief is responsible for, content audit, user registration, post comments, emergency response, technology security, the host management, training, assessment, reporting acceptance of internal management system. Live-streaming platforms that carry out commercial network performance activities must hold a Network Cultural Operation License and file for an ICP. A live broadcasting platform providing online audio-visual program services must hold the Permit for Spreading Audio-Visual Programs via Information Network (or complete registration in the National Information Registration and Management System for Online Audio-visual Platform) and put this on their ICP record. A live broadcast platform that provides Internet news and information service must hold an Internet News and Information Service License. A network live broadcasting platform shall go through the formalities of filing an enterprise with the local cyberspace and information authorities in a timely manner, and a platform that stops providing live broadcasting services shall cancel the filing in a timely manner.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March 25, 2022, Cyberspace Administration of China, the State Administration of Taxation and State Administration for Market Regulation jointly issued the </w:t>
      </w:r>
      <w:r>
        <w:rPr>
          <w:rFonts w:ascii="Times New Roman" w:cs="Times New Roman" w:eastAsia="Times New Roman" w:hAnsi="Times New Roman"/>
          <w:sz w:val="18"/>
          <w:szCs w:val="18"/>
          <w:i w:val="1"/>
          <w:iCs w:val="1"/>
          <w:color w:val="auto"/>
        </w:rPr>
        <w:t>Opinions on Further Regulating the For-Profit Activities in Online Live-streaming to Promote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Healthy Development of the Industry</w:t>
      </w:r>
      <w:r>
        <w:rPr>
          <w:rFonts w:ascii="Times New Roman" w:cs="Times New Roman" w:eastAsia="Times New Roman" w:hAnsi="Times New Roman"/>
          <w:sz w:val="18"/>
          <w:szCs w:val="18"/>
          <w:color w:val="auto"/>
        </w:rPr>
        <w:t>, which requires live-streaming platforms’ strict compliance with laws and regulations,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real-name verification and voluntary registration. Platforms are obligated to authenticate live-streaming publishers using their ID information and unified social credit code information. Additionally, platforms are required to report information such as the identity of the publisher, remuneration account, type of revenue, and profit-earning details to the local provincial-level cyberspace administration and competent tax authority every six months.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May 7, 2022, the Cyberspace Administration of China, together with three other authorities, jointly issued the </w:t>
      </w:r>
      <w:r>
        <w:rPr>
          <w:rFonts w:ascii="Times New Roman" w:cs="Times New Roman" w:eastAsia="Times New Roman" w:hAnsi="Times New Roman"/>
          <w:sz w:val="18"/>
          <w:szCs w:val="18"/>
          <w:i w:val="1"/>
          <w:iCs w:val="1"/>
          <w:color w:val="auto"/>
        </w:rPr>
        <w:t>Opinions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Regulating Live-streaming Rewards and Strengthening Minor Protections</w:t>
      </w:r>
      <w:r>
        <w:rPr>
          <w:rFonts w:ascii="Times New Roman" w:cs="Times New Roman" w:eastAsia="Times New Roman" w:hAnsi="Times New Roman"/>
          <w:sz w:val="18"/>
          <w:szCs w:val="18"/>
          <w:color w:val="auto"/>
        </w:rPr>
        <w:t>, which iterates the requirements for live-streaming platforms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strengthening real-name registration, prohibiting minors from virtual gifting and restrictions on providing live-streaming services to minors. Pursuant to these opinions, online platforms are prohibited from ranking, introducing or recommending live-streaming performers solely by the monetary amount of virtual gifts that they have received from users, nor could the platforms rank users based on the monetary amount of virtual gifts that they have given to live-streaming performers. Any such rankings currently available on these online platforms is ordered to be removed by June 7, 2022 according to the Live-streaming Opinions. In addition, the online platforms shall procure that, during the peak hours (from 8 p.m. to 10 p.m.) every day, each live-streaming performer shall not engage in “PKs” (i.e., real-time interactive competitive game between two performers) against another performer for more than twice, and the online platforms shall not impose penalty within the game or provide any technical support to facilitate imposing such penalty.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online cultural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February 17, 2011, the Ministry of Culture promulgated the </w:t>
      </w:r>
      <w:r>
        <w:rPr>
          <w:rFonts w:ascii="Times New Roman" w:cs="Times New Roman" w:eastAsia="Times New Roman" w:hAnsi="Times New Roman"/>
          <w:sz w:val="18"/>
          <w:szCs w:val="18"/>
          <w:i w:val="1"/>
          <w:iCs w:val="1"/>
          <w:color w:val="auto"/>
        </w:rPr>
        <w:t>Provisional Measures on Administration of Internet Culture</w:t>
      </w:r>
      <w:r>
        <w:rPr>
          <w:rFonts w:ascii="Times New Roman" w:cs="Times New Roman" w:eastAsia="Times New Roman" w:hAnsi="Times New Roman"/>
          <w:sz w:val="18"/>
          <w:szCs w:val="18"/>
          <w:color w:val="auto"/>
        </w:rPr>
        <w:t xml:space="preserve">, which became effective on April 1, 2011 and was amended on December 15, 2017. On March 18, 2011, the Ministry of Culture issued the </w:t>
      </w:r>
      <w:r>
        <w:rPr>
          <w:rFonts w:ascii="Times New Roman" w:cs="Times New Roman" w:eastAsia="Times New Roman" w:hAnsi="Times New Roman"/>
          <w:sz w:val="18"/>
          <w:szCs w:val="18"/>
          <w:i w:val="1"/>
          <w:iCs w:val="1"/>
          <w:color w:val="auto"/>
        </w:rPr>
        <w:t>Notice on Issues Relating to Implementing the Newly Amended Provisional Measures on Administration of Internet Culture</w:t>
      </w:r>
      <w:r>
        <w:rPr>
          <w:rFonts w:ascii="Times New Roman" w:cs="Times New Roman" w:eastAsia="Times New Roman" w:hAnsi="Times New Roman"/>
          <w:sz w:val="18"/>
          <w:szCs w:val="18"/>
          <w:color w:val="auto"/>
        </w:rPr>
        <w:t>, which regulates entities engaging in activities relating to “online cultural products.” “Online cultural products” are defined as cultural products produced, disseminated and circulated via internet which mainly include: (i) online cultural products particularly produced for the internet, such as online music entertainment, network games, network performance programs, online performing arts, online artworks and online animation features and cartoons; and (ii) online cultural products converted from music entertainment, games, performance programs, performing arts, artworks and animation features and cartoons, and disseminated via the internet. Pursuant to these measures, entities are required to obtain Online Culture Operating Permits from the applicable provincial level culture administrative authority if they intend to commercially engage in any of the following types of activities:</w:t>
      </w:r>
    </w:p>
    <w:p>
      <w:pPr>
        <w:spacing w:after="0" w:line="187" w:lineRule="exact"/>
        <w:rPr>
          <w:sz w:val="20"/>
          <w:szCs w:val="20"/>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duplication, importation, distribution or broadcasting of online cultural products;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online cultural products on the internet or transmission thereof via information networks such as the internet and the mobile networks to computers, fixed-line or mobile phones, television sets or gaming consoles for the purpose of browsing, reviewing, using or downloading such products by online users; or</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exhibitions or contests related to online cultural products.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December 2, 2016, the Ministry of Culture issued </w:t>
      </w:r>
      <w:r>
        <w:rPr>
          <w:rFonts w:ascii="Times New Roman" w:cs="Times New Roman" w:eastAsia="Times New Roman" w:hAnsi="Times New Roman"/>
          <w:sz w:val="18"/>
          <w:szCs w:val="18"/>
          <w:i w:val="1"/>
          <w:iCs w:val="1"/>
          <w:color w:val="auto"/>
        </w:rPr>
        <w:t>the Administrative Measures for Business Activities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Performances</w:t>
      </w:r>
      <w:r>
        <w:rPr>
          <w:rFonts w:ascii="Times New Roman" w:cs="Times New Roman" w:eastAsia="Times New Roman" w:hAnsi="Times New Roman"/>
          <w:sz w:val="18"/>
          <w:szCs w:val="18"/>
          <w:color w:val="auto"/>
        </w:rPr>
        <w:t>, which became effective on January 1, 2017. According to these measures, the business of transmitting in real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of online games presented or narrated via information networks such as the internet, mobile communication networks and mobile internet or uploading such content for communication in the audio-visual form shall be administered as online performances. An operator of online performances shall apply for Online Culture Operating Permit with the competent provincial cultural administration department, and the business scope indicated on the Online Culture Operating Permit shall clearly include online performances. In addition, an operator of online performances shall present the number of its Online Culture Operating Permit in a prominent position on the homepage of its websites.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comply with these laws and regulations, Shenzhen Xunlei obtained an Online Culture Operating Permit, which was last renewed in February 2025 with an effective period from March 16, 2025 to March 15, 2028 to offer music entertainment product online, operate online performance business and online shows business, and engage in the exhibition of online culture products and competition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online games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online publication of online games is subject to the regulation of SAPPRFT. Under the </w:t>
      </w:r>
      <w:r>
        <w:rPr>
          <w:rFonts w:ascii="Times New Roman" w:cs="Times New Roman" w:eastAsia="Times New Roman" w:hAnsi="Times New Roman"/>
          <w:sz w:val="18"/>
          <w:szCs w:val="18"/>
          <w:i w:val="1"/>
          <w:iCs w:val="1"/>
          <w:color w:val="auto"/>
        </w:rPr>
        <w:t>Administrative Provisions on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Publishing Services</w:t>
      </w:r>
      <w:r>
        <w:rPr>
          <w:rFonts w:ascii="Times New Roman" w:cs="Times New Roman" w:eastAsia="Times New Roman" w:hAnsi="Times New Roman"/>
          <w:sz w:val="18"/>
          <w:szCs w:val="18"/>
          <w:color w:val="auto"/>
        </w:rPr>
        <w:t>, ICP service operators must obtain the Internet Publishing Services License prior to provision of any online game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publishing services. On September 28, 2009, GAPPRFT, the National Copyright Administration and the National Office of Combating Pornography and Illegal Publications jointly published </w:t>
      </w:r>
      <w:r>
        <w:rPr>
          <w:rFonts w:ascii="Times New Roman" w:cs="Times New Roman" w:eastAsia="Times New Roman" w:hAnsi="Times New Roman"/>
          <w:sz w:val="18"/>
          <w:szCs w:val="18"/>
          <w:i w:val="1"/>
          <w:iCs w:val="1"/>
          <w:color w:val="auto"/>
        </w:rPr>
        <w:t>the Notice Regarding the Consistent Implementation of the “Stipulations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w:t>
      </w:r>
      <w:r>
        <w:rPr>
          <w:rFonts w:ascii="Times New Roman" w:cs="Times New Roman" w:eastAsia="Times New Roman" w:hAnsi="Times New Roman"/>
          <w:sz w:val="18"/>
          <w:szCs w:val="18"/>
          <w:color w:val="auto"/>
        </w:rPr>
        <w:t>,” which expressly requires that all online games need to be approved by GAPPRFT through the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approvals before they are operated online, and any updated online game versions or any change to the online games shall be subject to further advanced approvals before they can be operated online. In addition, foreign investors are prohibited from operating online games by the forms of foreign invested enterprises. The indirect functions such as contractual control and technology supply are also prohibited.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on December 22, 2023, the National Press and Publication Administration released draft </w:t>
      </w:r>
      <w:r>
        <w:rPr>
          <w:rFonts w:ascii="Times New Roman" w:cs="Times New Roman" w:eastAsia="Times New Roman" w:hAnsi="Times New Roman"/>
          <w:sz w:val="18"/>
          <w:szCs w:val="18"/>
          <w:i w:val="1"/>
          <w:iCs w:val="1"/>
          <w:color w:val="auto"/>
        </w:rPr>
        <w:t>Online Game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Measures</w:t>
      </w:r>
      <w:r>
        <w:rPr>
          <w:rFonts w:ascii="Times New Roman" w:cs="Times New Roman" w:eastAsia="Times New Roman" w:hAnsi="Times New Roman"/>
          <w:sz w:val="18"/>
          <w:szCs w:val="18"/>
          <w:color w:val="auto"/>
        </w:rPr>
        <w:t>, which restates existing regulations and market practices and also introduces new requirements, including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the online game publisher and operating entities shall obtain Internet Publishing Services License and (ii) measures to curb excessive spending through setting spending limits and prohibitions on rewards to entice frequent gameplay. The draft explicitly prohibits the marketing of unapproved games, payment services for illegal games, and illegal online game operations. Additionally, game technical tests that involve charging users will need to obtain approval from the National Press and Publication Administration. It requires online game companies to set user spending limits, disclose those limits in their terms of service, and provide pop-up warnings when users demonstrate irrational spending behavior. It also prohibits online game companies from offering rewards as inducements for daily logins, initial account funding, or consecutive account funding. It also prohibits game companies from using speculative or auction-based approaches to offer or condone high-priced transactions in virtual items. The National Press and Publication Administration solicited comments on this draft by January 22, 2024, but there is no timetable as to when it will be enacted.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online game services are operated by Shenzhen Xunlei and its subsidiaries. All of these online game operating subsidiaries have obtained a Value-added Telecommunication Services License for operating our online games; and Shenzhen Xunlei, which holds 70% of the equity interest in Xunlei Games, has obtained an Internet Publishing Services License for the publication of internet games, which has expired on September 17, 2022. We have been in the process of renewing such license, and re-submitted the required documents to the competent authorities for review in October 2023. However, neither Shenzhen Xunlei nor its subsidiary that operates online games has obtained an Internet Publishing Services License. Given the uncertainties of interpretation and implementation of laws and regulations and the enforcement practices of government authorities, we cannot assure you that Shenzhen Xunlei or, its subsidiary that operates online games and Xunlei Games are not required to obtain Internet Publishing Services Licenses as well. As of the date of this annual report, we have not received any administrative penalties, including fines, restrictions or suspension of our business, or regulatory inquiries for our operation without an effective Internet Publishing Services License. For risks relating to the Internet Publishing Services License, see “Item 3. Key Information—D. Risk Factors—Risks Related to Our Business—We may not be able to successfully address the challenges and risks we face in the online games market, such as a failure to operate popular, high-quality games or to obtain all the licenses required to operate online games, which may subject us to penalties from competent authorities, including the discontinuance of our online game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anti-fatigue system, real-name registration system and parental guardianship project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2007, GAPPRFT and several other government agencies issued a circular requiring the implementation of an anti-fatigue system and a real-name registration system by all PRC online game operators to curb addictive online game playing by minors. Under the anti-fatigue system, three hours or less of continuous playing by minors, defined as game players under 18 years of age, is considered to be “healthy,” three to five hours to be “fatiguing,” and five hours or more to be “unhealthy.” Game operators are required to reduce the value of in-game benefits to a minor player by half if the minor has reached the “fatiguing” level, and to zero once reaching the “unhealthy” level.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identify whether a game player is a minor and thus subject to the anti-fatigue system, a real-name registration system must be adopted to require online game players to register their real identity information before playing online games. The online game operators are also required to submit the identity information of game players to the public security authority for verification. In July 2011, GAPPRFT, together with several other government agencies, jointly issued </w:t>
      </w:r>
      <w:r>
        <w:rPr>
          <w:rFonts w:ascii="Times New Roman" w:cs="Times New Roman" w:eastAsia="Times New Roman" w:hAnsi="Times New Roman"/>
          <w:sz w:val="18"/>
          <w:szCs w:val="18"/>
          <w:i w:val="1"/>
          <w:iCs w:val="1"/>
          <w:color w:val="auto"/>
        </w:rPr>
        <w:t>the Notice on Initializing the Verification of Real-name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Registration for the Anti-Fatigue System on Online Games </w:t>
      </w:r>
      <w:r>
        <w:rPr>
          <w:rFonts w:ascii="Times New Roman" w:cs="Times New Roman" w:eastAsia="Times New Roman" w:hAnsi="Times New Roman"/>
          <w:sz w:val="18"/>
          <w:szCs w:val="18"/>
          <w:color w:val="auto"/>
        </w:rPr>
        <w:t>to strengthen the implementation of the anti-fatigue and real-name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The main purpose of this notice is to curb addictive online game playing by minors and protect their physical and mental health. This notice indicates that the National Citizen Identity Information Center of the Ministry of Public Security will verify identity information of game players submitted by online game operators. This notice also imposes stringent penalties on online game operators that do not implement the required anti-fatigue and real-name registration systems properly and effectively, including terminating their online game operations.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2011, Ministry of Culture, together with several other government agencies, jointly issued a circular entitled </w:t>
      </w:r>
      <w:r>
        <w:rPr>
          <w:rFonts w:ascii="Times New Roman" w:cs="Times New Roman" w:eastAsia="Times New Roman" w:hAnsi="Times New Roman"/>
          <w:sz w:val="18"/>
          <w:szCs w:val="18"/>
          <w:i w:val="1"/>
          <w:iCs w:val="1"/>
          <w:color w:val="auto"/>
        </w:rPr>
        <w:t xml:space="preserve">Implementation Scheme regarding Parental Guardianship Project for Minors Playing Online Games </w:t>
      </w:r>
      <w:r>
        <w:rPr>
          <w:rFonts w:ascii="Times New Roman" w:cs="Times New Roman" w:eastAsia="Times New Roman" w:hAnsi="Times New Roman"/>
          <w:sz w:val="18"/>
          <w:szCs w:val="18"/>
          <w:color w:val="auto"/>
        </w:rPr>
        <w:t>to strengthen the administration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games and protect the legitimate rights and interests of minors. This circular indicates that online game operators must have a person-in-charge, set up specific service web pages and publicize specific hot-lines to provide parents with necessary assistance to prevent or restrict minors’ improper game playing behavior. Online game operators must also submit a report regarding its performance under the Parental Guardianship Project to the local office of the Ministry of Culture each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February 4, 2015, the Cyberspace Administration of China promulgated </w:t>
      </w:r>
      <w:r>
        <w:rPr>
          <w:rFonts w:ascii="Times New Roman" w:cs="Times New Roman" w:eastAsia="Times New Roman" w:hAnsi="Times New Roman"/>
          <w:sz w:val="18"/>
          <w:szCs w:val="18"/>
          <w:i w:val="1"/>
          <w:iCs w:val="1"/>
          <w:color w:val="auto"/>
        </w:rPr>
        <w:t>the Administrative Provisions on Account Names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Users</w:t>
      </w:r>
      <w:r>
        <w:rPr>
          <w:rFonts w:ascii="Times New Roman" w:cs="Times New Roman" w:eastAsia="Times New Roman" w:hAnsi="Times New Roman"/>
          <w:sz w:val="18"/>
          <w:szCs w:val="18"/>
          <w:color w:val="auto"/>
        </w:rPr>
        <w:t>, which became effective as of March 1, 2015. These provisions require internet service providers to authenticate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users’ identity information and to commit to complying with the “seven basic requirements,” including, among other things, observing the laws and regulations, protecting state interests, as well as ensuring the authenticity of any information they provide. Internet information service providers are responsible for protecting users’ privacy, maintaining the consistency between user information, such as account names and avatars, and compliance with the requirements set forth in these provisions, making reports to the competent authorities regarding any violation of these provisions, and taking appropriate measures to stop any such violations, such as, notifying the user to make corrections within a specified time and suspending or closing accounts in the event of continuing non-compliance.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22, 2019, the Cyberspace Administration of China issued </w:t>
      </w:r>
      <w:r>
        <w:rPr>
          <w:rFonts w:ascii="Times New Roman" w:cs="Times New Roman" w:eastAsia="Times New Roman" w:hAnsi="Times New Roman"/>
          <w:sz w:val="18"/>
          <w:szCs w:val="18"/>
          <w:i w:val="1"/>
          <w:iCs w:val="1"/>
          <w:color w:val="auto"/>
        </w:rPr>
        <w:t>the Regulation on Cyber Protection of Children’s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effective on October 1, 2019, pursuant to which network operators are required to establish special policies and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to protect children’s personal information, and to appoint special personnel in charge of protecting children’s personal information. Network operators who collect, use, transfer or disclose personal information of children are required to, in a prominent and clear way, notify and obtain consent from children’s guardians.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2019, National Press and Publication Administration issued </w:t>
      </w:r>
      <w:r>
        <w:rPr>
          <w:rFonts w:ascii="Times New Roman" w:cs="Times New Roman" w:eastAsia="Times New Roman" w:hAnsi="Times New Roman"/>
          <w:sz w:val="18"/>
          <w:szCs w:val="18"/>
          <w:i w:val="1"/>
          <w:iCs w:val="1"/>
          <w:color w:val="auto"/>
        </w:rPr>
        <w:t>the Notice by the General Administration of Press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Publication of Preventing Minors from Indulging in Online Games</w:t>
      </w:r>
      <w:r>
        <w:rPr>
          <w:rFonts w:ascii="Times New Roman" w:cs="Times New Roman" w:eastAsia="Times New Roman" w:hAnsi="Times New Roman"/>
          <w:sz w:val="18"/>
          <w:szCs w:val="18"/>
          <w:color w:val="auto"/>
        </w:rPr>
        <w:t>, under which the total period of time for underage users to play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is strictly restricted. For example, from 22:00 p.m. each day to 8:00 a.m. of the next day, game operators are not allowed to provide underage users with any form of access to online games they operate, and the total length of time for game operators to provide underage users with access to online games cannot exceed three hours a day during statutory holidays or 1.5 hours a day on days other than statutory holidays. This notice also requires game operators to implement the real-name registration system for players of online games and take effective measures to restrict underage players from using paid services that are inconsistent with their capacity for civil conduct.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30, 2021, the National Press and Publication Administration issued </w:t>
      </w:r>
      <w:r>
        <w:rPr>
          <w:rFonts w:ascii="Times New Roman" w:cs="Times New Roman" w:eastAsia="Times New Roman" w:hAnsi="Times New Roman"/>
          <w:sz w:val="18"/>
          <w:szCs w:val="18"/>
          <w:i w:val="1"/>
          <w:iCs w:val="1"/>
          <w:color w:val="auto"/>
        </w:rPr>
        <w:t>the Notice on Further Strict Management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Prevent Minors from Indulging in Online Games</w:t>
      </w:r>
      <w:r>
        <w:rPr>
          <w:rFonts w:ascii="Times New Roman" w:cs="Times New Roman" w:eastAsia="Times New Roman" w:hAnsi="Times New Roman"/>
          <w:sz w:val="18"/>
          <w:szCs w:val="18"/>
          <w:color w:val="auto"/>
        </w:rPr>
        <w:t>, which requires all online game operators to provide services to minors only on Fridays,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Saturdays, Sundays and statutory holidays from 8:00 p.m. to 9:00 p.m., i.e., for one hour, and not to provide online games in any form to users who have not registered or logged in with their real names. In addition to the real-name registration system already in place, we have adjusted the systems in the games operated by us to comply with the requirements under this notice.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October 26, 2021, the Cyberspace Administration of China issued draft </w:t>
      </w:r>
      <w:r>
        <w:rPr>
          <w:rFonts w:ascii="Times New Roman" w:cs="Times New Roman" w:eastAsia="Times New Roman" w:hAnsi="Times New Roman"/>
          <w:sz w:val="18"/>
          <w:szCs w:val="18"/>
          <w:i w:val="1"/>
          <w:iCs w:val="1"/>
          <w:color w:val="auto"/>
        </w:rPr>
        <w:t>Administrative Provisions on the Account Names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Users</w:t>
      </w:r>
      <w:r>
        <w:rPr>
          <w:rFonts w:ascii="Times New Roman" w:cs="Times New Roman" w:eastAsia="Times New Roman" w:hAnsi="Times New Roman"/>
          <w:sz w:val="18"/>
          <w:szCs w:val="18"/>
          <w:color w:val="auto"/>
        </w:rPr>
        <w:t>. This draft provides that when registering an internet account, the user shall execute an agreement with the internet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services platform, provide authentic identity information, and obey the rules of the platform for content production and account management, the platform conventions and service agreement. Internet user account service platforms shall establish, improve and strictly implement, among others, account name information management system, information content security system, and personal information protection system. Internet user account service platforms should also establish an account name information dynamic check patrol system for the verification of real identity information, improve their technical measures for purposes of account information legal compliance, and support account name authenticity checks. When an internet user account is in violation of the provisions of this draft, the internet user account service platform shall suspend the service and inform the user to correct the issue within a limited time; and if the user refuses to correct it, the account shall be terminated.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20, 2023, the State Council promulgated </w:t>
      </w:r>
      <w:r>
        <w:rPr>
          <w:rFonts w:ascii="Times New Roman" w:cs="Times New Roman" w:eastAsia="Times New Roman" w:hAnsi="Times New Roman"/>
          <w:sz w:val="18"/>
          <w:szCs w:val="18"/>
          <w:i w:val="1"/>
          <w:iCs w:val="1"/>
          <w:color w:val="auto"/>
        </w:rPr>
        <w:t>the Regulation on the Protection of Minors in Cyberspace</w:t>
      </w:r>
      <w:r>
        <w:rPr>
          <w:rFonts w:ascii="Times New Roman" w:cs="Times New Roman" w:eastAsia="Times New Roman" w:hAnsi="Times New Roman"/>
          <w:sz w:val="18"/>
          <w:szCs w:val="18"/>
          <w:color w:val="auto"/>
        </w:rPr>
        <w:t>, effective on January 1, 2024. These measures provide that online games, live-streaming, online audio and video, social networking and other network service providers should set reasonable limitations on the amount minors at different ages can spend per transaction and per day in total in the use of their services, offer prominent and convenient features for guardians to manage time, permissions, and consumption to fulfill their supervisory duties, and should not provide paid services to minors incompatible with their civil capacity.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12, 2024, the Cyberspace Administration of China, The Ministry of Public Security, the Ministry of Culture and Tourism, the State Administration of Radio and Television jointly issued </w:t>
      </w:r>
      <w:r>
        <w:rPr>
          <w:rFonts w:ascii="Times New Roman" w:cs="Times New Roman" w:eastAsia="Times New Roman" w:hAnsi="Times New Roman"/>
          <w:sz w:val="18"/>
          <w:szCs w:val="18"/>
          <w:i w:val="1"/>
          <w:iCs w:val="1"/>
          <w:color w:val="auto"/>
        </w:rPr>
        <w:t>the Provisions on the Governance of Cyberviolence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which took effect on August 1, 2024. The Provisions on the Governance of Cyberviolence Information require that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service providers should establish functions and channels that facilitate minors and their guardians in exercising their rights to request the deletion of cyberviolence information. Upon receiving such notifications, they must promptly take necessary measures such as deletion, blocking, or disconnecting links to prevent the spread of the violence information.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26, 2025, eight government authorities including the Cyberspace Administration of China jointly issued the Measures for the Classification of Online Information That May Affect the Physical and Mental Health of Minors, with effect from March 1, 2026. The measures impose a series of obligations on platforms, including, among others, that organizations and individuals that produce, reproduce, publish, or disseminate information that may affect the physical and mental health of minors shall provide a prominent and clear warning before the display of the information.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online games on our platform, we have implemented a real-name registration system for our online games. For game players who do not provide verified identity information, we assume that they are minors under 18 years of age. Online game operators or developers rely on the identify information provide by us to implement their anti-indulgence measures. With respect to anti-indulgence measures, we have cooperated with third parties in developing anti-indulgence measures and are currently working with our third-party online game providers to implement anti-indulgence measures pursuant to the Anti-indulgence Notice. We have completed in preparing application materials and connecting to the national anti-indulgence and real-name registration system. See “Item 3. Key Information— D. Risk Factors—Risks Related to Our Business—We may not be able to successfully address the challenges and risks we face in the online games market, such as a failure to operate popular, high-quality games or to obtain all the licenses required to operate online games, which may subject us to penalties from competent authorities, including the discontinuance of our online game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online game virtual currency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i w:val="1"/>
          <w:iCs w:val="1"/>
          <w:color w:val="auto"/>
        </w:rPr>
        <w:t>the Notice on Strengthening the Administration of Online Game Virtual Currency</w:t>
      </w:r>
      <w:r>
        <w:rPr>
          <w:rFonts w:ascii="Times New Roman" w:cs="Times New Roman" w:eastAsia="Times New Roman" w:hAnsi="Times New Roman"/>
          <w:sz w:val="18"/>
          <w:szCs w:val="18"/>
          <w:color w:val="auto"/>
        </w:rPr>
        <w:t>, no enterprise may concurrently provide both virtual currency issuance service and virtual currency transaction service. This notice prohibits companies that issue online game virtual currency from providing services that would enable the trading of such virtual currency. Any company that fails to submit the requisite application is subject to sanctions, including, but not limited to, termination of operation, confiscation of incomes and fines. This notice also prohibits online game operators from allocating virtual items or virtual currency to players based on random selection through lucky draw, wager or lottery that involves cash or virtual currency directly paid by the players. In addition, companies that issue online game virtual currency must comply with certain specific requirements, for example, online game virtual currency can only be used for products and services related to the issuance company’s own online games.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internet publication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National Press and Publication Administration (formerly the SAPPRFT, GAPPRFT) is the government agency responsible for regulating publication activities in the PRC. In February 2016, the SAPPRFT and the Ministry of Industry and Information Technology jointly issued the </w:t>
      </w:r>
      <w:r>
        <w:rPr>
          <w:rFonts w:ascii="Times New Roman" w:cs="Times New Roman" w:eastAsia="Times New Roman" w:hAnsi="Times New Roman"/>
          <w:sz w:val="18"/>
          <w:szCs w:val="18"/>
          <w:i w:val="1"/>
          <w:iCs w:val="1"/>
          <w:color w:val="auto"/>
        </w:rPr>
        <w:t>Administrative Measures on Network Publication</w:t>
      </w:r>
      <w:r>
        <w:rPr>
          <w:rFonts w:ascii="Times New Roman" w:cs="Times New Roman" w:eastAsia="Times New Roman" w:hAnsi="Times New Roman"/>
          <w:sz w:val="18"/>
          <w:szCs w:val="18"/>
          <w:color w:val="auto"/>
        </w:rPr>
        <w:t xml:space="preserve">, which took effect in March 2016. Pursuant to these administrative measures, internet publishers shall be approved by and obtain an Internet Publishing Services License from National Press and Publication Administration to engage in network publication service. The network publication services refer to the activities of providing network publications to the public through information networks; and the network publications refer to the digitalized works with the publishing features such as editing, producing and processing. These administrative measures also provide the detailed qualifications and application procedures for obtaining an Internet Publishing Services License. The </w:t>
      </w:r>
      <w:r>
        <w:rPr>
          <w:rFonts w:ascii="Times New Roman" w:cs="Times New Roman" w:eastAsia="Times New Roman" w:hAnsi="Times New Roman"/>
          <w:sz w:val="18"/>
          <w:szCs w:val="18"/>
          <w:i w:val="1"/>
          <w:iCs w:val="1"/>
          <w:color w:val="auto"/>
        </w:rPr>
        <w:t>Notice Regarding the Consistent Implementation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“Stipulations on ‘Three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 </w:t>
      </w:r>
      <w:r>
        <w:rPr>
          <w:rFonts w:ascii="Times New Roman" w:cs="Times New Roman" w:eastAsia="Times New Roman" w:hAnsi="Times New Roman"/>
          <w:sz w:val="18"/>
          <w:szCs w:val="18"/>
          <w:color w:val="auto"/>
        </w:rPr>
        <w:t>issued jointly by GAPPRFT and other administrations confirmed that the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internet games must obtain the Internet Publication Services License. On February 21, 2008, the GAPPRFT promulgated the </w:t>
      </w:r>
      <w:r>
        <w:rPr>
          <w:rFonts w:ascii="Times New Roman" w:cs="Times New Roman" w:eastAsia="Times New Roman" w:hAnsi="Times New Roman"/>
          <w:sz w:val="18"/>
          <w:szCs w:val="18"/>
          <w:i w:val="1"/>
          <w:iCs w:val="1"/>
          <w:color w:val="auto"/>
        </w:rPr>
        <w:t>Rules for the Administration of Electronic Publication</w:t>
      </w:r>
      <w:r>
        <w:rPr>
          <w:rFonts w:ascii="Times New Roman" w:cs="Times New Roman" w:eastAsia="Times New Roman" w:hAnsi="Times New Roman"/>
          <w:sz w:val="18"/>
          <w:szCs w:val="18"/>
          <w:color w:val="auto"/>
        </w:rPr>
        <w:t>, effective on April 15, 2008 and amended on August 28, 2015, according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games are classified as a kind of electronic publication, and publishing of online games is required to be conducted by licensed electronic publishing entities that have been issued standard publication codes. Pursuant to these rules, if a PRC company is contractually authorized to publish foreign electronic publications, it must obtain the approval of, and register the copyright license contract with, the National Press and Publication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Shenzhen Xunlei holds the Internet Publishing Services License for the publication of internet games, which has expired on September 17, 2022. We have been in the process of renewing such license, and re-submitted the required documents to the competent authorities for review in October 2023. Furthermore, neither Shenzhen Xunlei nor its subsidiaries that operate online game has obtained an Internet Publishing Services License. As of the date of this annual report, we have not received any administrative penalties, including fines, restrictions or suspension of our business, or regulatory inquiries for our operation without an effective Internet Publishing Services License. See “Item 3. Key Information—D. Risk Factors—Risks Related to Our Business—We may not be able to successfully address the challenges and risks we face in the online games market, such as a failure to acquire and operate popular, high-quality games or to obtain all the licenses required to operate online games, which may subject us to penalties from competent authorities, including the discontinuance of our online game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content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National security considerations are an important factor in the regulation of internet content in China. The National People’s Congress has enacted laws with respect to maintaining the security of internet operations and internet content. According to these laws, as well as the Administrative Measures on Internet Information Services, violators may be subject to penalties, including criminal sanctions, for internet content that:</w:t>
      </w:r>
    </w:p>
    <w:p>
      <w:pPr>
        <w:spacing w:after="0" w:line="180"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stated in the PRC Constitution;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national security, divulges state secrets, subverts state power or damages national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undermines the PRC’s religious policy or propagates superstition;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obscenity or pornography, encourages gambling, violence, murder or fear or incites the commission of a crime;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prohibited by law or administrative regulations.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Internet content provision service operators are required to monitor their websites. They may not post or disseminate any content that falls within these prohibited categories and must remove any such content from their websites. The PRC government may shut down the websites of Internet Content Provision License holders that violate any of the abovementioned content restrictions, order them to suspend their operations, or revoke their Internet Content Provision Licenses.</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February 4, 2015, the Cyberspace Administration of China promulgated </w:t>
      </w:r>
      <w:r>
        <w:rPr>
          <w:rFonts w:ascii="Times New Roman" w:cs="Times New Roman" w:eastAsia="Times New Roman" w:hAnsi="Times New Roman"/>
          <w:sz w:val="18"/>
          <w:szCs w:val="18"/>
          <w:i w:val="1"/>
          <w:iCs w:val="1"/>
          <w:color w:val="auto"/>
        </w:rPr>
        <w:t>the Administrative Provisions on Account Names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Users</w:t>
      </w:r>
      <w:r>
        <w:rPr>
          <w:rFonts w:ascii="Times New Roman" w:cs="Times New Roman" w:eastAsia="Times New Roman" w:hAnsi="Times New Roman"/>
          <w:sz w:val="18"/>
          <w:szCs w:val="18"/>
          <w:color w:val="auto"/>
        </w:rPr>
        <w:t>, which became effective as of March 1, 2015. These provisions require internet service providers to authenticate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users’ identity information and to commit to complying with the “seven basic requirements,” including observing the laws and regulations, protecting state interests, as well as ensuring the authenticity of any information they provide. Internet information service providers are responsible for protecting users’ privacy, the consistency between user information, such as account names, avatars, and the requirements set forth in these provisions, making reports to the competent authorities regarding any violation of these provisions, and taking appropriate measures to stop any such violations, such as, notifying the user to make corrections within a specified time and suspending or closing accounts in the event of continuing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25, 2017, the Cyberspace Administration of China promulgated </w:t>
      </w:r>
      <w:r>
        <w:rPr>
          <w:rFonts w:ascii="Times New Roman" w:cs="Times New Roman" w:eastAsia="Times New Roman" w:hAnsi="Times New Roman"/>
          <w:sz w:val="18"/>
          <w:szCs w:val="18"/>
          <w:i w:val="1"/>
          <w:iCs w:val="1"/>
          <w:color w:val="auto"/>
        </w:rPr>
        <w:t>the Administrative Provisions on Internet Follow-up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Comment Services</w:t>
      </w:r>
      <w:r>
        <w:rPr>
          <w:rFonts w:ascii="Times New Roman" w:cs="Times New Roman" w:eastAsia="Times New Roman" w:hAnsi="Times New Roman"/>
          <w:sz w:val="18"/>
          <w:szCs w:val="18"/>
          <w:color w:val="auto"/>
        </w:rPr>
        <w:t>, which was amended on November 16, 2022 with effect from December 15, 2022. These provisions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follow-up comment service providers must verify the identification information of registered users, establish and improve user personal information protection systems, as well as establish and improve internet follow-up comment review and administration systems for real-time monitoring of user comments and emergency responses.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25, 2017, the Cyberspace Administration of China promulgated </w:t>
      </w:r>
      <w:r>
        <w:rPr>
          <w:rFonts w:ascii="Times New Roman" w:cs="Times New Roman" w:eastAsia="Times New Roman" w:hAnsi="Times New Roman"/>
          <w:sz w:val="18"/>
          <w:szCs w:val="18"/>
          <w:i w:val="1"/>
          <w:iCs w:val="1"/>
          <w:color w:val="auto"/>
        </w:rPr>
        <w:t>the Administrative Provisions on Internet Forum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Community Services</w:t>
      </w:r>
      <w:r>
        <w:rPr>
          <w:rFonts w:ascii="Times New Roman" w:cs="Times New Roman" w:eastAsia="Times New Roman" w:hAnsi="Times New Roman"/>
          <w:sz w:val="18"/>
          <w:szCs w:val="18"/>
          <w:color w:val="auto"/>
        </w:rPr>
        <w:t>, which became effective on October 1, 2017. These provisions provide that internet forum and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must assume primary responsibility for establishing and improving real-time information verification, emergency response capabilities, and personal information protections as well as other information security administration systems to institute preventative safety measures with employed professionals and necessary technical support for performing these duties.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15, 2019, the Cyberspace Administration of China promulgated the Regulations on the Ecological Governance of Network Information Content, effective from March 1, 2020, which specify the content scopes that are encouraged, prohibited or prevented from producing, re-producing and publishing. The network information content producers should take measures to prevent and resist the production of content that uses exaggerated titles that are inconsistent with the content, may incite racism or discrimination against geographic region, and propagates gossip and scandals. The network information content service platforms should fulfill the main responsibility of content management and establish an ecological governance mechanism of the network information, improve system for user registration, account management, information publishing review, and emergency response. The network information content service users, network information content producers and network information content service platforms should not, through manual or technical means, carry out acts, such as traffic falsification, traffic hijacking, false registration of account IDs, illegal trading of account IDs, or manipulation of user account IDs, that destroy network ecology.</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27, 2022, the Cyberspace Administration of China promulgated the Administrative Provisions on the Account Information of Internet Users, with effect from August 1, 2022, which provides guidelines on registration and use of internet accounts by internet users and management of internet account information by internet information service providers. The internet information service providers shall be responsible for performing the management obligations of internet account information. These providers shall have adequate professional personnel and technical capacity commensurate with their service scales, and establish and strictly implement the management rules on verification of identity information, verification of account information, security of information content, ecological governance, emergency responses, and personal information protection.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June 12, 2024, the Cyberspace Administration of China, The Ministry of Public Security, the Ministry of Culture and Tourism, the State Administration of Radio and Television jointly issued </w:t>
      </w:r>
      <w:r>
        <w:rPr>
          <w:rFonts w:ascii="Times New Roman" w:cs="Times New Roman" w:eastAsia="Times New Roman" w:hAnsi="Times New Roman"/>
          <w:sz w:val="18"/>
          <w:szCs w:val="18"/>
          <w:i w:val="1"/>
          <w:iCs w:val="1"/>
          <w:color w:val="auto"/>
        </w:rPr>
        <w:t>the Provisions on the Governance of Cyberviolence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which took effect on August 1, 2024. The provisions require (i) network information service providers to take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managing online content by establishing mechanisms for cyberviolence governance and (ii) network information service providers to implement systems for user registration, account management, personal information protection, content review, monitoring, and early warnings to identify and address cyberviolence information, and take measures such as deleting, shielding, and disconnecting links, keep relevant records, and report the case to relevant authorities for cyberviolence illegal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algorithm recommendations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2021, the Anti-Monopoly Commission of the State Council published the </w:t>
      </w:r>
      <w:r>
        <w:rPr>
          <w:rFonts w:ascii="Times New Roman" w:cs="Times New Roman" w:eastAsia="Times New Roman" w:hAnsi="Times New Roman"/>
          <w:sz w:val="18"/>
          <w:szCs w:val="18"/>
          <w:i w:val="1"/>
          <w:iCs w:val="1"/>
          <w:color w:val="auto"/>
        </w:rPr>
        <w:t>Anti-Monopoly Guidelines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Platform Economy Sector</w:t>
      </w:r>
      <w:r>
        <w:rPr>
          <w:rFonts w:ascii="Times New Roman" w:cs="Times New Roman" w:eastAsia="Times New Roman" w:hAnsi="Times New Roman"/>
          <w:sz w:val="18"/>
          <w:szCs w:val="18"/>
          <w:color w:val="auto"/>
        </w:rPr>
        <w:t>, which stipulates that online platform operators who use technological advantages, such as data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algorithms, to eliminate or restrict competition or impose price restrictions or exclusivity requirements on users, may be deemed as committing an abuse of dominant market position.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17, 2021, the Cyberspace Administration of China, together with eight other governmental authorities, jointly issued </w:t>
      </w:r>
      <w:r>
        <w:rPr>
          <w:rFonts w:ascii="Times New Roman" w:cs="Times New Roman" w:eastAsia="Times New Roman" w:hAnsi="Times New Roman"/>
          <w:sz w:val="18"/>
          <w:szCs w:val="18"/>
          <w:i w:val="1"/>
          <w:iCs w:val="1"/>
          <w:color w:val="auto"/>
        </w:rPr>
        <w:t>the Guidelines on Strengthening the Comprehensive Regulation of Algorithms for Internet Information Services</w:t>
      </w:r>
      <w:r>
        <w:rPr>
          <w:rFonts w:ascii="Times New Roman" w:cs="Times New Roman" w:eastAsia="Times New Roman" w:hAnsi="Times New Roman"/>
          <w:sz w:val="18"/>
          <w:szCs w:val="18"/>
          <w:color w:val="auto"/>
        </w:rPr>
        <w:t>, which provides that daily monitoring of data use, application scenarios and effects of algorithms shall be carried out by the regulators, and that security assessments of algorithms shall be conducted by the regulators. These guidelines also provide that an algorithm filing system shall be established and classified security management of algorithms shall be promoted.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December 31, 2021, the Cyberspace Administration of China, together with the Ministry of Industry and Information Technology, the Ministry of Public Security and the State Administration for Market Regulation, jointly issued </w:t>
      </w:r>
      <w:r>
        <w:rPr>
          <w:rFonts w:ascii="Times New Roman" w:cs="Times New Roman" w:eastAsia="Times New Roman" w:hAnsi="Times New Roman"/>
          <w:sz w:val="18"/>
          <w:szCs w:val="18"/>
          <w:i w:val="1"/>
          <w:iCs w:val="1"/>
          <w:color w:val="auto"/>
        </w:rPr>
        <w:t>the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on Algorithm Recommendations of Internet Information Services</w:t>
      </w:r>
      <w:r>
        <w:rPr>
          <w:rFonts w:ascii="Times New Roman" w:cs="Times New Roman" w:eastAsia="Times New Roman" w:hAnsi="Times New Roman"/>
          <w:sz w:val="18"/>
          <w:szCs w:val="18"/>
          <w:color w:val="auto"/>
        </w:rPr>
        <w:t>, effective on March 1, 2022, which provides that algorithm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 service providers are not allowed to use algorithms to register false user accounts, block information, give excessive recommendations, and that users should be given the option to easily turn off algorithm recommendation services.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July 10, 2023, the Cyberspace Administration of China released the </w:t>
      </w:r>
      <w:r>
        <w:rPr>
          <w:rFonts w:ascii="Times New Roman" w:cs="Times New Roman" w:eastAsia="Times New Roman" w:hAnsi="Times New Roman"/>
          <w:sz w:val="18"/>
          <w:szCs w:val="18"/>
          <w:i w:val="1"/>
          <w:iCs w:val="1"/>
          <w:color w:val="auto"/>
        </w:rPr>
        <w:t>Interim Administrative Measures for Generative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Artificial Intelligence Services</w:t>
      </w:r>
      <w:r>
        <w:rPr>
          <w:rFonts w:ascii="Times New Roman" w:cs="Times New Roman" w:eastAsia="Times New Roman" w:hAnsi="Times New Roman"/>
          <w:sz w:val="18"/>
          <w:szCs w:val="18"/>
          <w:color w:val="auto"/>
        </w:rPr>
        <w:t>, effective on August 15, 2023, pursuant to which any entity or individual that utilizes generative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technology to provide texts, pictures, audio, video or other content generation services to the public within the PRC shall assume the responsibility of content producer for the content generated by generative AI technology. If personal information is involved, these entities and individuals are required to take responsibility as the personal information processor and protect personal information. Furthermore, these entities and individuals providing generative AI services with attribute of public opinions or capable of social mobilization must apply for a security assessment from the national cyberspace authority and fulfill certain algorithm filings procedures. In addition, these entities and individuals are required to adhere to certain principles, including, among others, ensuring that the content created by generative AI aligns with societal morals and does not threaten national security, taking measures to avoid discrimination, ensuring the accuracy of generated content, and respecting intellectual property rights. If any illegal generated content is discovered, these entities and individuals shall timely take measures such as termination of generation and transmission and prevent their recurrence through model optimization training and other methods, and report to the competent authority. These entities and individuals shall label pictures, videos, and other AI-generated content in accordance with </w:t>
      </w:r>
      <w:r>
        <w:rPr>
          <w:rFonts w:ascii="Times New Roman" w:cs="Times New Roman" w:eastAsia="Times New Roman" w:hAnsi="Times New Roman"/>
          <w:sz w:val="18"/>
          <w:szCs w:val="18"/>
          <w:i w:val="1"/>
          <w:iCs w:val="1"/>
          <w:color w:val="auto"/>
        </w:rPr>
        <w:t>the Administrative Provisions on Deep Synthesis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Services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March 7, 2025, the Cyberspace Administration of China, the Ministry of Industry and Information Technology, the Ministry of Public Security, and the State Administration of Radio and Television jointly issued </w:t>
      </w:r>
      <w:r>
        <w:rPr>
          <w:rFonts w:ascii="Times New Roman" w:cs="Times New Roman" w:eastAsia="Times New Roman" w:hAnsi="Times New Roman"/>
          <w:sz w:val="18"/>
          <w:szCs w:val="18"/>
          <w:i w:val="1"/>
          <w:iCs w:val="1"/>
          <w:color w:val="auto"/>
        </w:rPr>
        <w:t>the Measures for Labelling Artificial Intelligence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Generated Contents </w:t>
      </w:r>
      <w:r>
        <w:rPr>
          <w:rFonts w:ascii="Times New Roman" w:cs="Times New Roman" w:eastAsia="Times New Roman" w:hAnsi="Times New Roman"/>
          <w:sz w:val="18"/>
          <w:szCs w:val="18"/>
          <w:color w:val="auto"/>
        </w:rPr>
        <w:t>with effect from September 1, 2025, which requires network information service providers to label AI-generated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contents with explicit labels and implicit labels. Explicit labels should be added to AI-generated text, images, audio, video and virtual content that may cause confusion or misidentification of the public and implicit labels should be added to the file metadata of AI-generated contents. Service providers that offer online content dissemination services are required to verify AI-generated content and ensure that appropriate labels are affixed. If file’s metadata lacks AI labels but the content shows signs of AI generation, it must be flagged accordingly. Additionally, app distribution platforms must require service providers to disclose if they offer AI-generated content services and verify the related labelling materials. Users are required to declare AI-generated content and use the labelling functions provided by the service provider when publishing such content.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several measures to comply with these regulations providing an option for our users to turn off algorithm recommendation services. However, these regulations are relatively new thus uncertainties still exist as to its interpretation, and potential impacts on our business operations are still substantially uncertain. See “Item 3. Key Information—D. Risk Factors—Risks Related to Doing Business in China—We may be adversely affected by PRC regulations to limit the method and manner that the internet companies may apply when using algorithms.”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internet privacy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PRC Constitution states that PRC law protects the freedom and privacy of communications of citizens and prohibits infringement of such rights. In recent years, PRC government authorities have passed laws on internet use to protect personal information from any unauthorized disclosure.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xml:space="preserve"> prohibit ICP service operators from insulting or slandering a third party or infringing upon the lawful rights and interests of a third party. Pursuant to the </w:t>
      </w:r>
      <w:r>
        <w:rPr>
          <w:rFonts w:ascii="Times New Roman" w:cs="Times New Roman" w:eastAsia="Times New Roman" w:hAnsi="Times New Roman"/>
          <w:sz w:val="18"/>
          <w:szCs w:val="18"/>
          <w:i w:val="1"/>
          <w:iCs w:val="1"/>
          <w:color w:val="auto"/>
        </w:rPr>
        <w:t>Several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Regulating the Market Order of Internet Information Services </w:t>
      </w:r>
      <w:r>
        <w:rPr>
          <w:rFonts w:ascii="Times New Roman" w:cs="Times New Roman" w:eastAsia="Times New Roman" w:hAnsi="Times New Roman"/>
          <w:sz w:val="18"/>
          <w:szCs w:val="18"/>
          <w:color w:val="auto"/>
        </w:rPr>
        <w:t>issued by Ministry of Industry and Information Technology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29, 2011, without the consent of a user, an ICP operator may not collect any user personal information or provide any such information to third parties. An ICP service operator shall expressly inform the users of the method, content and purpose of the collection and processing of such user personal information and may only collect such information necessary for the provision of its services. An ICP service operator is also required to properly keep the user personal information, and in case of any leak or likely leak of the user personal information, the ICP service operator shall take immediate remedial measures and in severe consequences, to make an immediate report to the telecommunications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pursuant to </w:t>
      </w:r>
      <w:r>
        <w:rPr>
          <w:rFonts w:ascii="Times New Roman" w:cs="Times New Roman" w:eastAsia="Times New Roman" w:hAnsi="Times New Roman"/>
          <w:sz w:val="18"/>
          <w:szCs w:val="18"/>
          <w:i w:val="1"/>
          <w:iCs w:val="1"/>
          <w:color w:val="auto"/>
        </w:rPr>
        <w:t>the Decision on Strengthening the Protection of Online Information</w:t>
      </w:r>
      <w:r>
        <w:rPr>
          <w:rFonts w:ascii="Times New Roman" w:cs="Times New Roman" w:eastAsia="Times New Roman" w:hAnsi="Times New Roman"/>
          <w:sz w:val="18"/>
          <w:szCs w:val="18"/>
          <w:color w:val="auto"/>
        </w:rPr>
        <w:t xml:space="preserve"> issued on December 28, 2012 and </w:t>
      </w:r>
      <w:r>
        <w:rPr>
          <w:rFonts w:ascii="Times New Roman" w:cs="Times New Roman" w:eastAsia="Times New Roman" w:hAnsi="Times New Roman"/>
          <w:sz w:val="18"/>
          <w:szCs w:val="18"/>
          <w:i w:val="1"/>
          <w:iCs w:val="1"/>
          <w:color w:val="auto"/>
        </w:rPr>
        <w:t xml:space="preserve">the Order for the Protection of Telecommunication and Internet User Personal Information </w:t>
      </w:r>
      <w:r>
        <w:rPr>
          <w:rFonts w:ascii="Times New Roman" w:cs="Times New Roman" w:eastAsia="Times New Roman" w:hAnsi="Times New Roman"/>
          <w:sz w:val="18"/>
          <w:szCs w:val="18"/>
          <w:color w:val="auto"/>
        </w:rPr>
        <w:t>issued by Ministry of Industry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on July 16, 2013, any collection and use of user personal information shall be subject to the consent of the user, abide by the principles of legality, rationality and necessity and be within the specified purposes, methods and scopes. An ICP service operator shall also keep such information strictly confidential, and is further prohibited from divulging, tampering or destroying of any such information, or selling or proving such information to other parties. Any violation of these regulations may subject the ICP service operator to warnings, fines, confiscation of illegal gains, revocation of licenses, cancellation of filings, closedown of websites or even criminal liabilities.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Twelfth Amendment to the Criminal Law of the PRC issued on December 29, 2023, any internet service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 (a) sells or provides personal information to others unlawfully or (b) steals or illegally obtains any personal information will be subject to criminal liability in severe situations.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Standing Committee of the National People’s Congress promulgated the PRC Cybersecurity Law of the PRC on November 7, 2016, which was amended on October 28, 2025 with effect from January 1, 2026. Pursuant to the PRC Cybersecurity Law, network operators shall follow their cybersecurity obligations according to the requirements of the classified protection system for cybersecurity, including: (a) formulating internal security management systems and operating instructions, determining the persons responsible for cybersecurity, and implementing the responsibility for cybersecurity protection; (b) taking technological measures to prevent computer viruses, network attacks, network intrusions and other actions endangering cybersecurity; (c) taking technological measures to monitor and record the network operation status and cybersecurity incidents; (d) taking measures such as data classification, and back-up and encryption of important data; and (e) other obligations provided by laws and administrative regulations. In addition, network operators shall follow the principles of legitimacy to collect and use personal information and disclose their rules of data collection and use, clearly express the purposes, means and scope of collecting and using the information, and obtain the consent of the persons whose data is gathered. On January 23, 2019, the Cyberspace Administration of China, the Ministry of Industry and Information Technology, and the Ministry of Public Security and the State Administration for Market Regulation jointly issued </w:t>
      </w:r>
      <w:r>
        <w:rPr>
          <w:rFonts w:ascii="Times New Roman" w:cs="Times New Roman" w:eastAsia="Times New Roman" w:hAnsi="Times New Roman"/>
          <w:sz w:val="18"/>
          <w:szCs w:val="18"/>
          <w:i w:val="1"/>
          <w:iCs w:val="1"/>
          <w:color w:val="auto"/>
        </w:rPr>
        <w:t>the Notice on Special Governance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 Collection and Use of Personal Information via Apps</w:t>
      </w:r>
      <w:r>
        <w:rPr>
          <w:rFonts w:ascii="Times New Roman" w:cs="Times New Roman" w:eastAsia="Times New Roman" w:hAnsi="Times New Roman"/>
          <w:sz w:val="18"/>
          <w:szCs w:val="18"/>
          <w:color w:val="auto"/>
        </w:rPr>
        <w:t>, which restates the requirement of legal collection and use of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encourages APP operators to conduct security certifications, and encourages search engines and APP stores to clearly mark and recommend those certified APPs.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22, 2019, the Cyberspace Administration of China issued </w:t>
      </w:r>
      <w:r>
        <w:rPr>
          <w:rFonts w:ascii="Times New Roman" w:cs="Times New Roman" w:eastAsia="Times New Roman" w:hAnsi="Times New Roman"/>
          <w:sz w:val="18"/>
          <w:szCs w:val="18"/>
          <w:i w:val="1"/>
          <w:iCs w:val="1"/>
          <w:color w:val="auto"/>
        </w:rPr>
        <w:t>the Regulation on Cyber Protection of Children’s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effective on October 1, 2019. Network operators are required to establish special policies and user agreements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children’s personal information, and to appoint special personnel in charge of protecting children’s personal information. Network operators who collect, use, transfer or disclose personal information of children are required to, in a prominent and clear way, notify and obtain consent from children’s guardians.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November 28, 2019, the Secretary Bureau of the Cyberspace Administration of China, the General Office of the Ministry of Industry and Information Technology, the General Office of the Ministry of Public Security and the General Office of the State Administration for Market Regulation promulgated </w:t>
      </w:r>
      <w:r>
        <w:rPr>
          <w:rFonts w:ascii="Times New Roman" w:cs="Times New Roman" w:eastAsia="Times New Roman" w:hAnsi="Times New Roman"/>
          <w:sz w:val="18"/>
          <w:szCs w:val="18"/>
          <w:i w:val="1"/>
          <w:iCs w:val="1"/>
          <w:color w:val="auto"/>
        </w:rPr>
        <w:t>the Identification Method of Illegal Collection and Use of Personal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Through App</w:t>
      </w:r>
      <w:r>
        <w:rPr>
          <w:rFonts w:ascii="Times New Roman" w:cs="Times New Roman" w:eastAsia="Times New Roman" w:hAnsi="Times New Roman"/>
          <w:sz w:val="18"/>
          <w:szCs w:val="18"/>
          <w:color w:val="auto"/>
        </w:rPr>
        <w:t>, which provides guidance for the regulatory authorities to identify the illegal collection and use of personal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mobile apps, and for the app operators to conduct self-examination and self-correction and for other participants to voluntarily monitor compliance.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May 28, 2020, the National People’s Congress adopted </w:t>
      </w:r>
      <w:r>
        <w:rPr>
          <w:rFonts w:ascii="Times New Roman" w:cs="Times New Roman" w:eastAsia="Times New Roman" w:hAnsi="Times New Roman"/>
          <w:sz w:val="18"/>
          <w:szCs w:val="18"/>
          <w:i w:val="1"/>
          <w:iCs w:val="1"/>
          <w:color w:val="auto"/>
        </w:rPr>
        <w:t>the PRC Civil Code</w:t>
      </w:r>
      <w:r>
        <w:rPr>
          <w:rFonts w:ascii="Times New Roman" w:cs="Times New Roman" w:eastAsia="Times New Roman" w:hAnsi="Times New Roman"/>
          <w:sz w:val="18"/>
          <w:szCs w:val="18"/>
          <w:color w:val="auto"/>
        </w:rPr>
        <w:t>, effective on January 1, 2021, according to which individuals have the right of privacy. No organization or individual shall process any individual’s private information or infringe on an individual’s right of privacy, unless otherwise prescribed by law or with such individual’s prior express consent. In addition, personal information is protected by the PRC laws. Any processing of personal information shall be subject to the principles of legitimacy, legality and necessity. An information processor must not divulge or falsify the personal information collected and stored by it, or provide the personal information of an individual to others without the consent of such individual.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National Information Security Standardization Technical Committee issued the latest </w:t>
      </w:r>
      <w:r>
        <w:rPr>
          <w:rFonts w:ascii="Times New Roman" w:cs="Times New Roman" w:eastAsia="Times New Roman" w:hAnsi="Times New Roman"/>
          <w:sz w:val="18"/>
          <w:szCs w:val="18"/>
          <w:i w:val="1"/>
          <w:iCs w:val="1"/>
          <w:color w:val="auto"/>
        </w:rPr>
        <w:t>Standard of Information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Technology—Personal Information Security Specification</w:t>
      </w:r>
      <w:r>
        <w:rPr>
          <w:rFonts w:ascii="Times New Roman" w:cs="Times New Roman" w:eastAsia="Times New Roman" w:hAnsi="Times New Roman"/>
          <w:sz w:val="18"/>
          <w:szCs w:val="18"/>
          <w:color w:val="auto"/>
        </w:rPr>
        <w:t>, which came into effect in October 2020. Under such standard, a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controller should follow the principles of legality, justification and necessity in handling personal information, obtain a consent from personal information providers and provide the personal information providers an independent choice when the product or service provided by the personal information controller has multiple functions.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PRC Personal Information Protection Law, effective on November 1, 2021. The PRC Personal Information Protection Law requires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bear responsibilities for their personal information handling activities, and shall adopt necessary measures to safeguard the security of the personal information they handle. Otherwise, the entities handling personal information could be ordered to correct, or suspend or terminate the provision of services, and face confiscation of illegal income, fines or other penalties.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July 7, 2022, the Cyberspace Administration of China promulgated </w:t>
      </w:r>
      <w:r>
        <w:rPr>
          <w:rFonts w:ascii="Times New Roman" w:cs="Times New Roman" w:eastAsia="Times New Roman" w:hAnsi="Times New Roman"/>
          <w:sz w:val="18"/>
          <w:szCs w:val="18"/>
          <w:i w:val="1"/>
          <w:iCs w:val="1"/>
          <w:color w:val="auto"/>
        </w:rPr>
        <w:t>the Outbound Data Transfer Security Assessment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w:t>
      </w:r>
      <w:r>
        <w:rPr>
          <w:rFonts w:ascii="Times New Roman" w:cs="Times New Roman" w:eastAsia="Times New Roman" w:hAnsi="Times New Roman"/>
          <w:sz w:val="18"/>
          <w:szCs w:val="18"/>
          <w:color w:val="auto"/>
        </w:rPr>
        <w:t>, effective on September 1, 2022, pursuant to which a data processor shall apply for security assessment with the competent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authority before any outbound data transfer if the transfer involves (i) important data; (ii) personal information transferred overseas by a critical information infrastructure operator and a data processor that has processed personal information of more than one million individuals; (iii) personal information transferred overseas by a data processor who has already provided personal information of 100,000 persons or sensitive personal information of 10,000 persons overseas since January 1 of the previous year; or (iv) other circumstances as requested. Furthermore, on August 31, 2022, the Cyberspace Administration of China promulgated </w:t>
      </w:r>
      <w:r>
        <w:rPr>
          <w:rFonts w:ascii="Times New Roman" w:cs="Times New Roman" w:eastAsia="Times New Roman" w:hAnsi="Times New Roman"/>
          <w:sz w:val="18"/>
          <w:szCs w:val="18"/>
          <w:i w:val="1"/>
          <w:iCs w:val="1"/>
          <w:color w:val="auto"/>
        </w:rPr>
        <w:t>the Guidelines for filing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Outbound Data Transfer Security Assessment (Version 1)</w:t>
      </w:r>
      <w:r>
        <w:rPr>
          <w:rFonts w:ascii="Times New Roman" w:cs="Times New Roman" w:eastAsia="Times New Roman" w:hAnsi="Times New Roman"/>
          <w:sz w:val="18"/>
          <w:szCs w:val="18"/>
          <w:color w:val="auto"/>
        </w:rPr>
        <w:t>, which provides that acts of outbound data transfer include (i) overseas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storage by data processors of data generated during mainland China domestic operations; (ii) the access to, use, download or export of the data collected and generated by data processors and stored in mainland China by overseas institutions, organizations or individuals; and (iii) other acts as specified.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2023, the Cyberspace Administration of China promulgated </w:t>
      </w:r>
      <w:r>
        <w:rPr>
          <w:rFonts w:ascii="Times New Roman" w:cs="Times New Roman" w:eastAsia="Times New Roman" w:hAnsi="Times New Roman"/>
          <w:sz w:val="18"/>
          <w:szCs w:val="18"/>
          <w:i w:val="1"/>
          <w:iCs w:val="1"/>
          <w:color w:val="auto"/>
        </w:rPr>
        <w:t>the Personal Information Outbound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 Contract Measures</w:t>
      </w:r>
      <w:r>
        <w:rPr>
          <w:rFonts w:ascii="Times New Roman" w:cs="Times New Roman" w:eastAsia="Times New Roman" w:hAnsi="Times New Roman"/>
          <w:sz w:val="18"/>
          <w:szCs w:val="18"/>
          <w:color w:val="auto"/>
        </w:rPr>
        <w:t>, effective on June 1, 2023. These measures apply to the provision of personal information to any overseas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by a personal information processor through executing standard contract for personal information outbound transfer with such overseas recipient. The personal information processor who provides personal information to overseas recipient through standard contract shall meet the following criteria: (i) it is not a critical information infrastructure operator; (ii) it handles personal information of less than one million individuals; (iii) it provided personal information of less than 100,000 individuals in aggregate to overseas recipients since January 1 of the previous year; and (iv) it provided sensitive personal information of less than 10,000 individuals in aggregate to any overseas recipients since January 1 of the previous year. These measures also require a personal information processor to conduct a personal information protection impact assessment before providing any personal information to an overseas recipient and complete the filing with local cybersecurity authority within 10 working days from the effective date of the standard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22, 2024, the Cyberspace Administration of China enacted the Provisions on Facilitating and Regulating Cross-border Data Flows, or the Provisions, which became effective on the same date. The Provisions relax certain data export requirements by introducing modifications and exemptions to the three mechanisms for cross-border data transfer, namely (i) security assessment; (ii) standard contract for personal information outbound transfer; and (iii) personal information protection certification. Among these, a security assessment is required for (i) export of important data;(ii) export of personal information by a CIIO, unless any of the exempted circumstances apply; and (iii) export of sensitive personal information of 10,000 or more individuals or personal information of 1,000,000 or more individuals since 1st January of that year (for the purpose of calculating the amount thresholds, the personal information/sensitive personal information provided under any of the exempted circumstances shall be excluded). Either the standard contract or the certification can be adopted where a non-CIIO data operator cumulatively provides outside of mainland China the personal information (excluding sensitive personal information) of 100,000 or more individuals but fewer than 1,000,000 individuals since 1st January of that year or cumulatively provides outside of mainland China the sensitive personal information of fewer than 10,000 individuals since 1st January of that year. The Provisions outline several exemptions, such as (i) provision of data collected and generated in activities such as international trade, cross-border transportation, academic cooperation, cross-border production and marketing, which do not involve personal information or important data, (ii) provision of data collected and generated overseas after being processed within the China, provided that no important data and personal information are involved during the process; (iii) provision of data for contractual fulfilment by an individual, cross-border human resource management, or to protect the life, health, and property safety of natural persons in emergency situations; and (iv) a non-CIIO data operator cumulatively provides outside of mainland China the personal information (excluding sensitive personal information) of fewer than 100,000 individuals since 1st January of that year. In addition, data processors operating within the free trade experimental zones may enjoy further exemptions.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12, 2025, the CAC published the Administrative Measures for the Compliance Audit of Personal Information Protection, effective on May 1, 2025. Personal information processors that process personal information of more than ten million individuals shall carry out a compliance audit of personal information protection at least once every two years. Where a personal information processor conducts a compliance audit on personal information protection by itself, it shall have its internal department, or a commissioned professional institution regularly conduct compliance audits on its compliance with laws and administrative regulations in processing personal information. In certain circumstances, national cyberspace administration authorities and other departments performing personal information protection duties may require personal information processors to commission professional institutions to conduct compliance audits on personal information processing activities. When conducting compliance audits, personal information processors shall follow the Guidelines for Personal Information Protection Compliance Audits outlined in these Measures.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comply with these laws and regulations, we have established information security systems to protect users’ privacy, we also have adopted a risk detection mechanism for data security defects and vulnerabilities, and set up an emergency response mechanism for data security incidents. We also periodically review our privacy policies and amend as needed based on the development and changes of the personal information we will collect and process to ensure that we have comply with relevant requirements, including obtaining users’ prior consent to the collection and processing of their personal information before such collecting and processing. However, our system may not be compliant with laws and regulations. We have been ordered to rectify our app as it failed to explicitly inform users the purpose, method, and scope regarding personal data collection. We will continue to review and amend our privacy policies on our websites and mobile applications periodically based on the development and changes of our business operations so that we obtain proper consents from our users for collecting and using their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internet medicine information service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State Food and Drug Administration promulgated </w:t>
      </w:r>
      <w:r>
        <w:rPr>
          <w:rFonts w:ascii="Times New Roman" w:cs="Times New Roman" w:eastAsia="Times New Roman" w:hAnsi="Times New Roman"/>
          <w:sz w:val="18"/>
          <w:szCs w:val="18"/>
          <w:i w:val="1"/>
          <w:iCs w:val="1"/>
          <w:color w:val="auto"/>
        </w:rPr>
        <w:t>the Administration Measures on Internet Medicine Information Service</w:t>
      </w:r>
      <w:r>
        <w:rPr>
          <w:rFonts w:ascii="Times New Roman" w:cs="Times New Roman" w:eastAsia="Times New Roman" w:hAnsi="Times New Roman"/>
          <w:sz w:val="18"/>
          <w:szCs w:val="18"/>
          <w:color w:val="auto"/>
        </w:rPr>
        <w:t xml:space="preserve"> on July 8, 2004, which was amended in November 2017, and certain implementing rules and notices thereafter. These measures set out regulations governing the classification, application, approval, content, qualifications and requirements for internet medicine information services. An ICP service operator that provides information regarding medicine or medical equipment must obtain an Internet Medicine Information Service Qualification Certificate from the applicable provincial level counterpart of State Food and Drug Administration. Shenzhen Xunlei has obtained a Medicine Information Service Qualification Certificate from Guangdong Food and Drug Administration for the provision of internet medical information services with an expiry date of May 23, 2028. Shenzhen Wangwenhua has also obtained a Medicine Information Service Qualification Certificate from Guangdong Food and Drug Administration for the provision of internet medical information services with the expiry date extended to August 23, 2027.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advertising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State Administration for Market Regulation is the government agency responsible for regulating advertising activities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laws and regulations, companies that engage in advertising activities must obtain from the State Administration for Market Regulation or its local branches a business license which specifically includes operating an advertising business within its business scope. The business license of an advertising company is valid for the duration of its existence, unless the license is suspended or revoked due to a violation of laws or regulations. PRC advertising laws and regulations set forth certain content requirements for advertisements in the PRC including prohibitions on false or misleading content, superlative wording, socially destabilizing content or content involving obscenities, superstition, violence, discrimination or infringement of the public interest. Advertisers, advertising agencies and advertising distributors are required by PRC advertising laws and regulations to ensure that the content of the advertisements they prepare or distribute is true and in full compliance with laws and regulations. In providing advertising services, advertising operators and advertising distributors must review the supporting documents provided by advertisers for advertisements and verify that the content of the advertisements complies with PRC laws and regulations. Prior to distributing advertisements that are subject to government censorship and approval, advertising distributors are obligated to verify that such censorship has been performed and approval has been obtained. The release or delivery of advertisements through the internet shall not impair the normal use of the network by users. The advertisements released in pop-up form on the web page of the Internet and other forms shall indicate the close flag in prominent manner and ensure one-key close. Violation of these regulations may result in penalties, including fines, confiscation of advertising income, orders to cease dissemination of the advertisements and orders to publish an advertisement correcting the misleading information. In the event of serious violations, the State Administration for Market Regulation or its local branches may revoke violators’ licenses or permits for their advertising business operations.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February 25, 2023, the State Administration for Market Regulation issued </w:t>
      </w:r>
      <w:r>
        <w:rPr>
          <w:rFonts w:ascii="Times New Roman" w:cs="Times New Roman" w:eastAsia="Times New Roman" w:hAnsi="Times New Roman"/>
          <w:sz w:val="18"/>
          <w:szCs w:val="18"/>
          <w:i w:val="1"/>
          <w:iCs w:val="1"/>
          <w:color w:val="auto"/>
        </w:rPr>
        <w:t>the Measures for the Administration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Advertising</w:t>
      </w:r>
      <w:r>
        <w:rPr>
          <w:rFonts w:ascii="Times New Roman" w:cs="Times New Roman" w:eastAsia="Times New Roman" w:hAnsi="Times New Roman"/>
          <w:sz w:val="18"/>
          <w:szCs w:val="18"/>
          <w:color w:val="auto"/>
        </w:rPr>
        <w:t>, effective on May 1, 2023. These measures provide requirements for transparency, user rights protection and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advertising agents, advertising publishers and platform operators, and also introduce requirements for various forms of online advertisements, including pop-up advertisements, open-screen advertisements, live-streaming advertisement, “soft text advertisements,” internet advertisements containing links, auction ranked advertisements, algorithm-recommended advertisements, internet live broadcast advertisements and covert advertisements. For instance, when promoting goods or services through soft text advertisements such as knowledge introduction, experience sharing and consumption evaluation with attached purchase methods like shopping links, the advertisement publisher must clearly indicate “advertisement” to distinguish it as such. These measures specifically require internet platform operators to take measures to prevent and stop illegal advertisements, which include recording and storing the real identity information of users who publish advertisements for at least three years, monitoring and investigating advertisement content, and employing measures to stop illegal advertisements. Platform operators must also establish effective complaint and reporting mechanisms, cooperate with competent governmental authorities in investigating illegal conduct, and use measures such as warnings or suspending or terminating services for users who publish illegal advertisements. Platform operators are prohibited from using technical means or other methods to obstruct competent governmental authorities’ advertisement monitoring. Violation of these requirements may result in administrative penalties including fines, confiscation of illegal incomes, suspension of business operations and revocation of business licenses, among others. The administrative penalty decisions made by competent governmental authorities will be publicly disclosed through the National Enterprise Credit Information Publicity System. We have outsourced our advertising business to Itui in 2020 and required Itui to set up an effective review mechanism for each advertisement it places on our websites and platform to ensure the content is truthful, accurate, and in full compliance with laws and regulations. See “Item 3. Key Information—D. Risk Factors—Risks Related to Our Business—Advertisements displayed on our platform may subject us to penalties and other administrative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information security and censorship</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PRC laws and regulations specifically prohibit the use of internet infrastructure where it may breach public security, provide content harmful to the stability of society or disclose state secrets. According to the </w:t>
      </w:r>
      <w:r>
        <w:rPr>
          <w:rFonts w:ascii="Times New Roman" w:cs="Times New Roman" w:eastAsia="Times New Roman" w:hAnsi="Times New Roman"/>
          <w:sz w:val="18"/>
          <w:szCs w:val="18"/>
          <w:i w:val="1"/>
          <w:iCs w:val="1"/>
          <w:color w:val="auto"/>
        </w:rPr>
        <w:t>Measures for the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Computer Information Network and International Networking Security Protection</w:t>
      </w:r>
      <w:r>
        <w:rPr>
          <w:rFonts w:ascii="Times New Roman" w:cs="Times New Roman" w:eastAsia="Times New Roman" w:hAnsi="Times New Roman"/>
          <w:sz w:val="18"/>
          <w:szCs w:val="18"/>
          <w:color w:val="auto"/>
        </w:rPr>
        <w:t>, which was issued by the State Council on January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2011, and other regulations, it is mandatory for internet companies in the PRC to complete security filing procedures and regularly update information security and censorship systems for their websites with the local public security bureau. In addition, the amended </w:t>
      </w:r>
      <w:r>
        <w:rPr>
          <w:rFonts w:ascii="Times New Roman" w:cs="Times New Roman" w:eastAsia="Times New Roman" w:hAnsi="Times New Roman"/>
          <w:sz w:val="18"/>
          <w:szCs w:val="18"/>
          <w:i w:val="1"/>
          <w:iCs w:val="1"/>
          <w:color w:val="auto"/>
        </w:rPr>
        <w:t>Law on Preservation of State Secrets</w:t>
      </w:r>
      <w:r>
        <w:rPr>
          <w:rFonts w:ascii="Times New Roman" w:cs="Times New Roman" w:eastAsia="Times New Roman" w:hAnsi="Times New Roman"/>
          <w:sz w:val="18"/>
          <w:szCs w:val="18"/>
          <w:color w:val="auto"/>
        </w:rPr>
        <w:t>, which became effective on May 1, 2024, provides that whenever an internet service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detects any leakage of state secrets in the distribution of online information, it should stop the distribution of such information and report to the authorities of state security and public security. As per requests of state security authorities, public security or state secrecy, the internet service provider shall delete any content on its website that may lead to disclosure of state secrets.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June 28, 2016, the Cyberspace Administration of China issued the </w:t>
      </w:r>
      <w:r>
        <w:rPr>
          <w:rFonts w:ascii="Times New Roman" w:cs="Times New Roman" w:eastAsia="Times New Roman" w:hAnsi="Times New Roman"/>
          <w:sz w:val="18"/>
          <w:szCs w:val="18"/>
          <w:i w:val="1"/>
          <w:iCs w:val="1"/>
          <w:color w:val="auto"/>
        </w:rPr>
        <w:t>Administrative Provisions on Mobile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Applications Information Services</w:t>
      </w:r>
      <w:r>
        <w:rPr>
          <w:rFonts w:ascii="Times New Roman" w:cs="Times New Roman" w:eastAsia="Times New Roman" w:hAnsi="Times New Roman"/>
          <w:sz w:val="18"/>
          <w:szCs w:val="18"/>
          <w:color w:val="auto"/>
        </w:rPr>
        <w:t>, which became effective on August 1, 2016 and the most recent amendment of which became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 2022, to further strengthen the administration over the mobile internet application information services. Pursuant to these provisions, owners or operators of mobile internet applications that provide information services are required to be responsible for information security management, which, among others, includes the following:</w:t>
      </w:r>
    </w:p>
    <w:p>
      <w:pPr>
        <w:spacing w:after="0" w:line="185" w:lineRule="exact"/>
        <w:rPr>
          <w:sz w:val="20"/>
          <w:szCs w:val="20"/>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the identification information of the registered users;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89"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improving the protective mechanism for users information, following the principle of legality, rightfulness, necessity and good faith, and having clear and reasonable purposes, disclose processing rules, abide by the regulations on the scope of necessary personal information and take necessary measures to ensure personal information security; and</w:t>
      </w:r>
    </w:p>
    <w:p>
      <w:pPr>
        <w:spacing w:after="0" w:line="157" w:lineRule="exact"/>
        <w:rPr>
          <w:rFonts w:ascii="Times New Roman" w:cs="Times New Roman" w:eastAsia="Times New Roman" w:hAnsi="Times New Roman"/>
          <w:sz w:val="17"/>
          <w:szCs w:val="17"/>
          <w:color w:val="auto"/>
        </w:rPr>
      </w:pPr>
    </w:p>
    <w:p>
      <w:pPr>
        <w:ind w:left="1000" w:right="2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improving the verification mechanism for the content, taking measures against any illegal content, keeping the records and reporting such content to competent authorities.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promulgated the PRC Cybersecurity Law, which was amended on October 28, 2025 with effect from January 1, 2026, to protect cyberspace security and order. Pursuant to the PRC Cyber Security Law, any individual or organization using the network must comply with the constitution and the applicable laws, follow the public order and respect social moralities, and must not endanger cyber security, or engage in activities by making use of the network that endanger the national security, honor and interests, or infringe on the fame, privacy, intellectual property and other legitimate rights and interests of others. In addition, the PRC Cyber Security Law requires network operators must not collect personal information irrelevant to their services. The network operators are required to strictly keep confidential users’ personal information that they have collected and to establish and improve user information protective mechanism. In the event of any unauthorized disclosure, damage or loss of collected personal information, network operators must take immediate remedial measures, notify the affected users and report the incidents to the competent authorities in a timely manner. In addition, the amended PRC Cybersecurity Law raises the maximum fine for network operators who fail to fulfill their cybersecurity duties, including failure to take measures to cease the transmission or remove information prohibited by appropriate laws or administrative regulations, keep record of relevant information or report to competent authorities, to RMB 10 million, and introduces new legal liabilities including the legal liability for selling or providing network critical equipment and network security specific products that have not been certified for security.</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August 25, 2017, the Cyberspace Administration of China promulgated the </w:t>
      </w:r>
      <w:r>
        <w:rPr>
          <w:rFonts w:ascii="Times New Roman" w:cs="Times New Roman" w:eastAsia="Times New Roman" w:hAnsi="Times New Roman"/>
          <w:sz w:val="18"/>
          <w:szCs w:val="18"/>
          <w:i w:val="1"/>
          <w:iCs w:val="1"/>
          <w:color w:val="auto"/>
        </w:rPr>
        <w:t>Provisions on the Administration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Comments Posting Services</w:t>
      </w:r>
      <w:r>
        <w:rPr>
          <w:rFonts w:ascii="Times New Roman" w:cs="Times New Roman" w:eastAsia="Times New Roman" w:hAnsi="Times New Roman"/>
          <w:sz w:val="18"/>
          <w:szCs w:val="18"/>
          <w:color w:val="auto"/>
        </w:rPr>
        <w:t>, which became effective on October 1, 2017 with the most recent amendment becoming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2022. According to these provisions, internet comments posting services refer to the services of publishing transcripts, symbols, expressions, pictures, audio and video and other information offered by Internet websites, applications, interactive communication platforms and other types of website platforms having the capabilities of social mobilization or influencing public opinion by way of comment, reply, message, bullet screen, like and using other means. Providers of the internet comments posting services shall strictly assume the primary responsibilities and discharge the following obligations accordingly:</w:t>
      </w:r>
    </w:p>
    <w:p>
      <w:pPr>
        <w:spacing w:after="0" w:line="185" w:lineRule="exact"/>
        <w:rPr>
          <w:sz w:val="20"/>
          <w:szCs w:val="20"/>
          <w:color w:val="auto"/>
        </w:rPr>
      </w:pPr>
    </w:p>
    <w:p>
      <w:pPr>
        <w:jc w:val="both"/>
        <w:ind w:left="1000" w:hanging="31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real identity information of registered users following the principle of using real name at foreground and volunteering to do so at background and forbid the provision of internet comments posting services for users whose real identity information is not verified or falsely use the identity information of the organization or others;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improve a user personal information protection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system to review new comments before they are published when providing internet comments posting services;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improve an internet comments posting review and management, real-time check, emergency response, report acceptance and other information security management systems, timely identify and process illicit and unhealthy information and submit a report to the competent network information departments;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information protection and management technologies for the internet comments posting, timely identify security flaws and bugs and other risks in internet comments posting services, take remedial measures and submit a report to the competent internet and information departments; and</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reviewing and editing team, strengthen the post review and review training and improve the professionalism of editors.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addition, on August 25, 2017, the Cyberspace Administration of China promulgated the </w:t>
      </w:r>
      <w:r>
        <w:rPr>
          <w:rFonts w:ascii="Times New Roman" w:cs="Times New Roman" w:eastAsia="Times New Roman" w:hAnsi="Times New Roman"/>
          <w:sz w:val="18"/>
          <w:szCs w:val="18"/>
          <w:i w:val="1"/>
          <w:iCs w:val="1"/>
          <w:color w:val="auto"/>
        </w:rPr>
        <w:t>Administrative Provisions on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Forum and Community Services</w:t>
      </w:r>
      <w:r>
        <w:rPr>
          <w:rFonts w:ascii="Times New Roman" w:cs="Times New Roman" w:eastAsia="Times New Roman" w:hAnsi="Times New Roman"/>
          <w:sz w:val="18"/>
          <w:szCs w:val="18"/>
          <w:color w:val="auto"/>
        </w:rPr>
        <w:t>, which became effective on October 1, 2017, pursuant to which the internet forum and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shall assume the primary responsibility for establishing and improving the information inspection and verification, public information real-time check, emergency response and personal information protection and other information security management systems, put in place safe and controllable preventative measures, employ professionals based on service scope, and provide necessary technical support for the departments in performing duties according to the law. The internet forum and community service providers shall not use internet forum and community services to publish or disseminate information banned by laws, regulations and provisions of the state. Where the internet forum and community service providers identify any aforementioned information, they shall cease the transmission of such information forthwith, delete and take other measures, retain the records and timely submit a report to the Cyberspace Administration of China or its local branches.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November 15, 2018, the Cyberspace Administration of China and the Ministry of Public Security jointly promulgated the </w:t>
      </w:r>
      <w:r>
        <w:rPr>
          <w:rFonts w:ascii="Times New Roman" w:cs="Times New Roman" w:eastAsia="Times New Roman" w:hAnsi="Times New Roman"/>
          <w:sz w:val="18"/>
          <w:szCs w:val="18"/>
          <w:i w:val="1"/>
          <w:iCs w:val="1"/>
          <w:color w:val="auto"/>
        </w:rPr>
        <w:t>Provisions for the Security Assessment of Internet Information Services Having Public Opinion Properties or Social Mobilization Capacity</w:t>
      </w:r>
      <w:r>
        <w:rPr>
          <w:rFonts w:ascii="Times New Roman" w:cs="Times New Roman" w:eastAsia="Times New Roman" w:hAnsi="Times New Roman"/>
          <w:sz w:val="18"/>
          <w:szCs w:val="18"/>
          <w:color w:val="auto"/>
        </w:rPr>
        <w:t>, with effect from November 30, 2018, which deems microblogging, live - streaming, information sharing services as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having the capabilities of social mobilization or influencing public opinion. The service providers providing such services are required to conduct security assessments when they launch new online services, expand the functionality of their existing services, introduce new technologies or applications, experience a significant increase in user base, witness the spread of unlawful or harmful information, or any other circumstance identified by the cybersecurity authorities. These service providers are required to submit security assessment reports to the local cybersecurity authorities and public security bureau via the National Internet Security Management Service Platform.</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June 27, 2022, the Cyberspace Administration of China promulgated the </w:t>
      </w:r>
      <w:r>
        <w:rPr>
          <w:rFonts w:ascii="Times New Roman" w:cs="Times New Roman" w:eastAsia="Times New Roman" w:hAnsi="Times New Roman"/>
          <w:sz w:val="18"/>
          <w:szCs w:val="18"/>
          <w:i w:val="1"/>
          <w:iCs w:val="1"/>
          <w:color w:val="auto"/>
        </w:rPr>
        <w:t>Administrative Provisions on the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of Internet Users</w:t>
      </w:r>
      <w:r>
        <w:rPr>
          <w:rFonts w:ascii="Times New Roman" w:cs="Times New Roman" w:eastAsia="Times New Roman" w:hAnsi="Times New Roman"/>
          <w:sz w:val="18"/>
          <w:szCs w:val="18"/>
          <w:color w:val="auto"/>
        </w:rPr>
        <w:t>, effective from August 1, 2022, which provides guidelines on the provision the account information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September 9, 2022, the Cyberspace Administration of China, together with the Ministry of Industry and Information Technology and State Administration for Market Regulation, jointly issued the </w:t>
      </w:r>
      <w:r>
        <w:rPr>
          <w:rFonts w:ascii="Times New Roman" w:cs="Times New Roman" w:eastAsia="Times New Roman" w:hAnsi="Times New Roman"/>
          <w:sz w:val="18"/>
          <w:szCs w:val="18"/>
          <w:i w:val="1"/>
          <w:iCs w:val="1"/>
          <w:color w:val="auto"/>
        </w:rPr>
        <w:t>Administrative Provisions on Internet Pop-up Window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Notification Services</w:t>
      </w:r>
      <w:r>
        <w:rPr>
          <w:rFonts w:ascii="Times New Roman" w:cs="Times New Roman" w:eastAsia="Times New Roman" w:hAnsi="Times New Roman"/>
          <w:sz w:val="18"/>
          <w:szCs w:val="18"/>
          <w:color w:val="auto"/>
        </w:rPr>
        <w:t>, effective on September 30, 2022, which provides that providers of internet pop-up window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push services shall implement the responsibilities as subjects of information content management and establish and improve management systems for censoring of information content, ecological governance, data security and personal information protection, and protection of minors.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effective on September 1, 2021. The PRC Data Security Law establishes a classified and tiered system for data protection based on the level of importance of the data in the economic and social development, as well as the level of danger of the data imposed on national security, public interests, or the legal interests of individuals and organizations upon any manipulation, destruction, leakage, illegal acquisition or illegal usage. Furthermore, it is specified that the PRC Cybersecurity Law applies to the security administration of the cross-border transfer of important data collected and generated by operators of “critical information infrastructure” during their operations in China.</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these measures requires data processors processing over one million users’ personal information to comply with the regulations on important data processors, including appointing a person in charge of data security and establishing a data security management organization, filing with the competent authority within fifteen working days after identifying its important data, formulating data security training plans and organizing data security education and training for all staff every year, and that the education and training time of data security related technical and management personnel shall not be less than 20 hours per year. These measures also state that data processors processing important data or going public overseas shall conduct an annual data security assessment by themselves or entrust a data security service institution to do so, and submit the data security assessment report of the previous year to the local branch of Cyberspace Administration of China before January 31 of each year.</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these measures also require internet platform operators to establish platform rules, privacy policies and algorithm strategies related to data, and solicit public comments on their official websites and personal information protection related sections for no less than 30 working days when they formulate platform rules or privacy policies or makes any amendments that may have a significant impact on users’ rights and interests. Further, platform rules and privacy policies formulated by operators of large internet platforms with more than 100 million daily active users, or amendments to such rules or policies by operators of large internet platforms with more than 100 million daily active users that may have significant impacts on users’ rights and interests shall be evaluated by a third-party organization designated by the Cyberspace Administration of China and reported to local branch of the Cyberspace Administration of China for approval. The Cyberspace Administration of China solicited comments on this draft, but there is no timetable as to when it will be enacted.</w:t>
      </w:r>
    </w:p>
    <w:p>
      <w:pPr>
        <w:spacing w:after="0" w:line="13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December 28, 2021, the Cyberspace Administration of China, the NDRC, the Ministry of Industry and Information Technology and several other authorities jointly promulgated </w:t>
      </w:r>
      <w:r>
        <w:rPr>
          <w:rFonts w:ascii="Times New Roman" w:cs="Times New Roman" w:eastAsia="Times New Roman" w:hAnsi="Times New Roman"/>
          <w:sz w:val="18"/>
          <w:szCs w:val="18"/>
          <w:i w:val="1"/>
          <w:iCs w:val="1"/>
          <w:color w:val="auto"/>
        </w:rPr>
        <w:t>Measures for Cybersecurity Reviews</w:t>
      </w:r>
      <w:r>
        <w:rPr>
          <w:rFonts w:ascii="Times New Roman" w:cs="Times New Roman" w:eastAsia="Times New Roman" w:hAnsi="Times New Roman"/>
          <w:sz w:val="18"/>
          <w:szCs w:val="18"/>
          <w:color w:val="auto"/>
        </w:rPr>
        <w:t>, which became effective on February 15, 2022. According to these measures, (i) when the purchase of network products and services by a critical information infrastructures operator or the data processing activities conducted by a network platform operator affect or may affect national security, a cybersecurity review shall be conducted pursuant to these measures. The aforesaid operators shall file for a cybersecurity review with Cybersecurity Review Office under the Cyberspace Administration of China if their behavior affects or may affect national security; (ii) an application for cybersecurity review shall be made by an issuer who is a network platform operator holding personal information of more than one million users before such issuer applies to list its securities on a foreign stock exchange; and (iii) the PRC governmental authorities may initiate cybersecurity review if such governmental authorities determine that the issuer’s network products or services, or data processing activities affect or may affect national security. Cybersecurity reviews focus on assessing the following national security risks factors: (i) the risk of illegal control, interference or destruction of critical information infrastructure, arising from the purchase and utilization of network products and services; (ii) the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the PRC laws, administrative regulations and ministry rules of the suppliers of network products and services; (v) the risk of core data, important data or a large amount of personal information being stolen, leaked, destroyed, and illegally used or illegally exited the country; (vi) the risk of critical information infrastructure, core data, important data or a large amount of personal information being affected, controlled, or maliciously used by foreign governments and the network information security risk in relation to listing abroad; and (vii) other factors that may harm critical information infrastructure, cyber security and/or data security.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July 7, 2022, the Cyberspace Administration of China promulgated the </w:t>
      </w:r>
      <w:r>
        <w:rPr>
          <w:rFonts w:ascii="Times New Roman" w:cs="Times New Roman" w:eastAsia="Times New Roman" w:hAnsi="Times New Roman"/>
          <w:sz w:val="18"/>
          <w:szCs w:val="18"/>
          <w:i w:val="1"/>
          <w:iCs w:val="1"/>
          <w:color w:val="auto"/>
        </w:rPr>
        <w:t>Outbound Data Transfers Security Assessment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w:t>
      </w:r>
      <w:r>
        <w:rPr>
          <w:rFonts w:ascii="Times New Roman" w:cs="Times New Roman" w:eastAsia="Times New Roman" w:hAnsi="Times New Roman"/>
          <w:sz w:val="18"/>
          <w:szCs w:val="18"/>
          <w:color w:val="auto"/>
        </w:rPr>
        <w:t>, effective on September 1, 2022, which require the data processor providing data overseas and falling under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circumstances to apply for the security assessment of cross-border data transfer with the local provincial-level counterparts of the national cybersecurity authority: (i) where the data processor intends to provide important data overseas; (ii) where a critical information infrastructure operator and a data processor who has processed personal information of more than 1,000,000 individuals intends to provide personal information overseas; (iii) where a data processor who has provided personal information of 100,000 individuals or sensitive personal information of 10,000 individuals to overseas recipients, in each case as calculated cumulatively, since January 1 of the last year, intends to provide personal information overseas; and (iv) other circumstances where the security assessment of data cross-border transfer is required as prescribed by the Cyberspace Administration of China. Furthermore, the data processor shall conduct a self-assessment on the risk of data cross-border transfer prior to applying for the foregoing security assessment, under which the data processor shall focus on certain factors including, among others,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 Any violations of these measures may result in the penalties for the data processor and its responsible person under the PRC Cybersecurity Law, the PRC Data Security Law, the PRC Personal Information Protection Law and other laws and regulations, which include warnings, rectification, suspension of business, revocation of license or fines of up to RMB50 million or five percent of annual revenue for the data processor and up to RMB1 million for responsible individuals.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30, 2024, the State Council released the Administrative Measures for Network Data Security, which came into effect on January 1, 2025. The Administrative Measures for Network Data Security provide detailed operational guidelines for the implementation of the PRC Cybersecurity Law, Data Security Law, and Personal Information Protection Law. According to the Administrative Measures for Network Data Security, data processors must identify and report the type of important data involved in their business pursuant to relevant guidelines, and processors of important data must adopt specific measures to secure important data, such as designating the personnel and internal management department for network data security and conducting risk assessment and submitting annual risk assessment reports to relevant authorities. Failure to protect important data, including failure to identify and report the type of important data, can lead to administrative penalties, including fines, suspension of business operations, and revocation of business licenses. The Administrative Measures for Network Data Security also require that a network data processor processing the personal information of more than 10 million individuals shall comply with the provisions governing the important data processors. In terms of network platform governance, the Administrative Measures for Network Data Security imposes compliance obligations on network platform service providers, in particular, overseeing the network data security practice of third parties who provide products or services on the platform and bearing legal liabilities when such third parties’ network data processing activities violate applicable laws or the platform rules and causes damage to users. Large network platform operators, defined as those (i) with over 50 million registered users or more than 10 million monthly active users; (ii) having complex business models; and (iii) conducting network data processing activities that may significantly impact national security, economic operations and public welfare, should publish annual social responsibility report on personal information protection, and should not carry out unfair or deceptive practices such as collecting and processing user data through misleading, fraudulent, or coercive means, unjustified restrictions on user data access, and unreasonable differential treatment of users.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February 14, 2025, the Cyberspace Administration of China promulgated </w:t>
      </w:r>
      <w:r>
        <w:rPr>
          <w:rFonts w:ascii="Times New Roman" w:cs="Times New Roman" w:eastAsia="Times New Roman" w:hAnsi="Times New Roman"/>
          <w:sz w:val="18"/>
          <w:szCs w:val="18"/>
          <w:i w:val="1"/>
          <w:iCs w:val="1"/>
          <w:color w:val="auto"/>
        </w:rPr>
        <w:t>the Personal Information Protection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Audit Management Measures </w:t>
      </w:r>
      <w:r>
        <w:rPr>
          <w:rFonts w:ascii="Times New Roman" w:cs="Times New Roman" w:eastAsia="Times New Roman" w:hAnsi="Times New Roman"/>
          <w:sz w:val="18"/>
          <w:szCs w:val="18"/>
          <w:color w:val="auto"/>
        </w:rPr>
        <w:t>with effect from May 1, 2025, which requires personal information processors processing data of over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individuals to conduct personal information protection compliance audits at least once every two years. In addition, personal information processors processing the personal information of over 1 million individuals shall designate a personal information protection officer in charge of the compliance audit. The personal information processors providing important internet platform services, having large number of users and complicated business type, shall establish an independent body mainly composed of external members to oversee the situation of personal information protection compliance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Violation of these laws and provisions may result in penalties, including fines, confiscation of illegal income. In the case of serious violations, the competent telecommunication authority, public security authority and other competent authorities may suspend relevant business, rectification or close down the website, or revoke licenses or permits for their business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laws and regulations relating to information security and censorship. To comply with these laws and regulations, we have completed the mandatory security filing procedures with the local public security authorities, and regularly update its information security and content-filtering systems with newly issued content restrictions as required by the laws and regulations. Although instances in the past have suggested that our information security and content-filtering systems may not be compliant with laws and regulations in all respects, we strive to improve our systems by continuously implementing additional protective and examining measures to reduce the risk of cyber-incidents and to detect improper or illegal content. See “Item 3. Key Information—D. Risk Factors —Risks Related to Our Business—System failure, interruptions and downtime, including those caused by cyber-attacks or security breaches, can result in user dissatisfaction, adverse publicity or leakage of confidential information of our users and customers, and our business, financial condition, results of operations may be materially and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torts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2020, the National People’s Congress promulgated the PRC Civil Code, which became effective on January 1, 2021. Under the PRC Civil Code, internet users and internet service providers shall bear tortious liability in the event they infringe upon other people’s civil rights and interests through the internet. Where an internet user is infringing upon the civil rights or interests of another person via internet, the injured party shall have the right to demand the internet service provider to take necessary measures such as deleting the infringing content, etc. by serving the internet service provider a notice. Where the internet service provider fails to take any necessary measures, it shall be jointly and severally liable with the internet user for any additional injury or damage incurred thereafter. Under the circumstance that the internet service provider is aware that an internet user is infringing upon the civil rights or interests of another person and fails to take necessary measures, the internet service provider shall be jointly liable for such infringement with such internet user.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intellectual property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has adopted comprehensive legislation governing intellectual property rights, including copyrights, patents, trademarks and domain names.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Copyright law</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PRC Copyright Law (1990), as amended in 2001, 2010 and 2020, and its related implementing regulations, creators of protected works enjoy personal and property rights, including the right of dissemination via information network of the works. The term of a copyright, other than the rights of authorship, alteration and integrity of an author which shall be unlimited in time, is life plus 50 years for individual authors and 50 years for corporations.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To address the problem of copyright infringement related to content posted or transmitted on the internet, the National Copyright Administration and Ministry of Industry and Information Technology jointly promulgated the </w:t>
      </w:r>
      <w:r>
        <w:rPr>
          <w:rFonts w:ascii="Times New Roman" w:cs="Times New Roman" w:eastAsia="Times New Roman" w:hAnsi="Times New Roman"/>
          <w:sz w:val="18"/>
          <w:szCs w:val="18"/>
          <w:i w:val="1"/>
          <w:iCs w:val="1"/>
          <w:color w:val="auto"/>
        </w:rPr>
        <w:t>Measures for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Protection of Copyright Related to Internet </w:t>
      </w:r>
      <w:r>
        <w:rPr>
          <w:rFonts w:ascii="Times New Roman" w:cs="Times New Roman" w:eastAsia="Times New Roman" w:hAnsi="Times New Roman"/>
          <w:sz w:val="18"/>
          <w:szCs w:val="18"/>
          <w:color w:val="auto"/>
        </w:rPr>
        <w:t>on April 29, 2005. These measures, which became effective on May 30, 2005, apply to 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automatically providing services, such as uploading, storing, linking or searching works, audio or video products, or other content through the internet based on the instructions of internet users who publish content on the internet, without editing, amending or selecting any transmitted content. When imposing administrative penalties upon the act which infringes upon any users’ right of communication through information networks, </w:t>
      </w:r>
      <w:r>
        <w:rPr>
          <w:rFonts w:ascii="Times New Roman" w:cs="Times New Roman" w:eastAsia="Times New Roman" w:hAnsi="Times New Roman"/>
          <w:sz w:val="18"/>
          <w:szCs w:val="18"/>
          <w:i w:val="1"/>
          <w:iCs w:val="1"/>
          <w:color w:val="auto"/>
        </w:rPr>
        <w:t>the Measures for Imposing Copyright Administrative Penalties</w:t>
      </w:r>
      <w:r>
        <w:rPr>
          <w:rFonts w:ascii="Times New Roman" w:cs="Times New Roman" w:eastAsia="Times New Roman" w:hAnsi="Times New Roman"/>
          <w:sz w:val="18"/>
          <w:szCs w:val="18"/>
          <w:color w:val="auto"/>
        </w:rPr>
        <w:t>, promulgated in 2009, shall be applied.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Regulation on Protection of the Right of Communication through Information Network</w:t>
      </w:r>
      <w:r>
        <w:rPr>
          <w:rFonts w:ascii="Times New Roman" w:cs="Times New Roman" w:eastAsia="Times New Roman" w:hAnsi="Times New Roman"/>
          <w:sz w:val="18"/>
          <w:szCs w:val="18"/>
          <w:color w:val="auto"/>
        </w:rPr>
        <w:t>, as amended in 2013, 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ICP service provider may be exempted from indemnification liabilities under following circumstances:</w:t>
      </w:r>
    </w:p>
    <w:p>
      <w:pPr>
        <w:spacing w:after="0" w:line="207" w:lineRule="exact"/>
        <w:rPr>
          <w:sz w:val="20"/>
          <w:szCs w:val="20"/>
          <w:color w:val="auto"/>
        </w:rPr>
      </w:pPr>
    </w:p>
    <w:p>
      <w:pPr>
        <w:jc w:val="both"/>
        <w:ind w:left="1000" w:hanging="317"/>
        <w:spacing w:after="0" w:line="25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ICP service provider, who provides automatic internet access service upon instructions of its users or provides automatic transmission service of works, performance and audio-visual products provided by its users, will not be required to assume the indemnification liabilities if (i) it has not chosen or altered the transmitted works, performance and audio-visual products; and (ii) it provides such works, performance and audio-visual products to the designated user and prevents any person other than such designated user from obtaining the access.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ICP service provider who, for the sake of improving network transmission efficiency, automatically provides to its own users, based on the technical arrangement, the relevant works, performances and audio-visual products obtained from any other ICP service providers will not be required to assume the indemnification liabilities if (i) it has not altered any of the works, performance or audiovisual products that are automatically stored; (ii) it has not affected such original ICP service provider in grasping the circumstances where the users obtain the relevant works, performance and audio-visual products; and (iii) when the original ICP service provider revises, deletes or shields the works, performance and audio-visual products, it will automatically revise, delete or shield the same based on the technical arrangement.</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ICP service provider, who provides its users with information memory space for such users to provide the works, performance and audio-visual products to the general public via the information network, will not be required to assume the indemnification liabilities if (i) it clearly indicates that the information memory space is provided to the users and publicizes its own name, contact person and web address; (ii) it has not altered the works, performance and audio-visual products that are provided by the users; (iii) it is not aware of or has no reason to know the infringement of the works, performance and audio-visual products provided by the users; (iv) it has not directly derived any economic benefit from the provision of the works, performance and audio-visual products by its users; and (v) after receiving a notice from the right holder, it has deleted such works, performance and audio-visual products as alleged for infringement pursuant to such regulation.</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ICP service provider, who provides its users with search services or links, will not be required to assume the indemnification liabilities if, after receiving a notice from the rights holder, it has deleted the works, performance and audio-visual products as alleged for copyright infringement pursuant to this regulation. However, the ICP service provider shall be subject to joint liabilities for copyright infringement if it is aware of or has reason to know the infringement of the works, performance and audio-visual products to which it provides links.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2012, the Supreme People’s Court of China promulgated the </w:t>
      </w:r>
      <w:r>
        <w:rPr>
          <w:rFonts w:ascii="Times New Roman" w:cs="Times New Roman" w:eastAsia="Times New Roman" w:hAnsi="Times New Roman"/>
          <w:sz w:val="18"/>
          <w:szCs w:val="18"/>
          <w:i w:val="1"/>
          <w:iCs w:val="1"/>
          <w:color w:val="auto"/>
        </w:rPr>
        <w:t>Provisions on Certain Issues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 of Law in the Trial of Civil Cases Involving Disputes over Infringement of the Right of Dissemination through Information Networks</w:t>
      </w:r>
      <w:r>
        <w:rPr>
          <w:rFonts w:ascii="Times New Roman" w:cs="Times New Roman" w:eastAsia="Times New Roman" w:hAnsi="Times New Roman"/>
          <w:sz w:val="18"/>
          <w:szCs w:val="18"/>
          <w:color w:val="auto"/>
        </w:rPr>
        <w:t>, the most recent amendment of which became effective on January 1, 2021. According to these provisions, the courts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ICP service providers to remove not only links or content that have been specifically mentioned in the notices of infringement from rights holders, but also links or content they “should have known” to contain infringing content. The provisions further provide that where an ICP service provider has directly obtained economic benefits from any content made available by an internet user, it has a higher duty of care with respect to internet users’ infringement of third-party copyrights.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comply with these laws and regulations, we have implemented internal procedures to monitor and review the content on our websites and platforms and remove any infringing content promptly after we receive notice of infringement from the legitimate rights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National People’s Congress adopted the PRC Patent Law in 1984 and amended it in 1992, 2000, 2008 and 2020,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or designs that are mainly used for marking the pattern, color or combination of these two of prints. The Patent Office under the China National Intellectual Property Administration is responsible for receiving, examining and approving patent applications. A patent is valid for a twenty-year term in the case of an invention and a ten-year term in the case of a utility model and a fifteen-year term in the case of a design, starting from the application date. A third-party user must obtain consent or a proper license from the patent owner to use the patent except for certain specific circumstances provided by law. Otherwise, the use may constitute an infringement of the patent rights. As of December 31, 2025, we had 445 registered patents in the PRC and 135 patent applications were being examined by the Patent Office of the China National Intellectual Property Administration.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law</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Registered trademarks are protected under the PRC Trademark Law, which was adopted in 1982 and amended in 1993, 2001, 2013 and 2019, and its implementation rules. The Trademark Office of China National Intellectual Property Administration is responsible for the registration and administration of trademarks throughout the PRC. The PRC Trademark Law has adopted a “first-to-file” principle with respect to trademark registration. Where a trademark for which a registration has been made is identical or similar to another trademark that has already been registered or been subject to a preliminary examination and approval for use on the same kind of or similar commodities or services, the application for registration of such trademark may be rejected. Any person applying for the registration of a trademark shall not prejudice the existing right of others obtained by priority, nor shall any person register in advance a trademark that has already been used by another person and has already gained “sufficient degree of reputation” through that person’s use. After receiving an application, the PRC Trademark Office will make a public announcement if the trademark passes the preliminary examination. Within three months after such public announcement, any person may file an opposition against a trademark that has passed a preliminary examination. The PRC Trademark Office’s decisions on rejection, opposition or cancellation of an application may be appealed to the PRC Trademark Review and Adjudication Board, whose decision may be further appealed through judicial proceedings. If no opposition is filed within three months after the public announcement period or if the opposition has been overruled, the PRC Trademark Office will approve the registration and issue a registration certificate, upon which the trademark is registered and will be effective for a renewable ten-year period, unless otherwise revoked. As of December 31, 2025, we had 1,315 trademarks registered in different applicable trademark categories in China and three trademarks registered with World Intellectual Property Organization. We had applied for registration of 63 trademarks in China.</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domain names are protected under the </w:t>
      </w:r>
      <w:r>
        <w:rPr>
          <w:rFonts w:ascii="Times New Roman" w:cs="Times New Roman" w:eastAsia="Times New Roman" w:hAnsi="Times New Roman"/>
          <w:sz w:val="18"/>
          <w:szCs w:val="18"/>
          <w:i w:val="1"/>
          <w:iCs w:val="1"/>
          <w:color w:val="auto"/>
        </w:rPr>
        <w:t>Administrative Measures on the Internet Domain Names</w:t>
      </w:r>
      <w:r>
        <w:rPr>
          <w:rFonts w:ascii="Times New Roman" w:cs="Times New Roman" w:eastAsia="Times New Roman" w:hAnsi="Times New Roman"/>
          <w:sz w:val="18"/>
          <w:szCs w:val="18"/>
          <w:color w:val="auto"/>
        </w:rPr>
        <w:t xml:space="preserve"> promulgated by Ministry of Industry and Information Technology on August 24, 2017 and effective on November 11, 2017. Ministry of Industry and Information Technology is the major regulatory body responsible for the administration of the PRC internet domain names. China Internet Network Information Center is responsible for the daily administration of CN domain names and Chinese domain names. On June 18, 2019, China Internet Network Information Center issued the </w:t>
      </w:r>
      <w:r>
        <w:rPr>
          <w:rFonts w:ascii="Times New Roman" w:cs="Times New Roman" w:eastAsia="Times New Roman" w:hAnsi="Times New Roman"/>
          <w:sz w:val="18"/>
          <w:szCs w:val="18"/>
          <w:i w:val="1"/>
          <w:iCs w:val="1"/>
          <w:color w:val="auto"/>
        </w:rPr>
        <w:t>Implementing Rules of National Top-Level Domain Names Registration</w:t>
      </w:r>
      <w:r>
        <w:rPr>
          <w:rFonts w:ascii="Times New Roman" w:cs="Times New Roman" w:eastAsia="Times New Roman" w:hAnsi="Times New Roman"/>
          <w:sz w:val="18"/>
          <w:szCs w:val="18"/>
          <w:color w:val="auto"/>
        </w:rPr>
        <w:t xml:space="preserve">, Pursuant to the </w:t>
      </w:r>
      <w:r>
        <w:rPr>
          <w:rFonts w:ascii="Times New Roman" w:cs="Times New Roman" w:eastAsia="Times New Roman" w:hAnsi="Times New Roman"/>
          <w:sz w:val="18"/>
          <w:szCs w:val="18"/>
          <w:i w:val="1"/>
          <w:iCs w:val="1"/>
          <w:color w:val="auto"/>
        </w:rPr>
        <w:t>Administrative Measures on the Internet Domain Names and the Implementing Rules of National Top-Level Domain Names Registration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of domain names adopts the “first-to-file” principle and the registrant shall complete the registration via the domain name registration service institutions. We have registered “</w:t>
      </w:r>
      <w:r>
        <w:rPr>
          <w:rFonts w:ascii="Times New Roman" w:cs="Times New Roman" w:eastAsia="Times New Roman" w:hAnsi="Times New Roman"/>
          <w:sz w:val="18"/>
          <w:szCs w:val="18"/>
          <w:u w:val="single" w:color="auto"/>
          <w:color w:val="auto"/>
        </w:rPr>
        <w:t>xunlei.com</w:t>
      </w:r>
      <w:r>
        <w:rPr>
          <w:rFonts w:ascii="Times New Roman" w:cs="Times New Roman" w:eastAsia="Times New Roman" w:hAnsi="Times New Roman"/>
          <w:sz w:val="18"/>
          <w:szCs w:val="18"/>
          <w:color w:val="auto"/>
        </w:rPr>
        <w:t>” and other domain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PRC enterprise income tax</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PRC enterprise income tax is calculated based on the taxable income determined under the PRC laws and accounting standards. On March 16, 2007, the National People’s Congress enacted a new PRC Enterprise Income Tax Law, which became effective on January 1, 2008 and was last revised on December 2018. On December 6, 2007, the State Council promulgated the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Rules to the PRC Enterprise Income Tax Law</w:t>
      </w:r>
      <w:r>
        <w:rPr>
          <w:rFonts w:ascii="Times New Roman" w:cs="Times New Roman" w:eastAsia="Times New Roman" w:hAnsi="Times New Roman"/>
          <w:sz w:val="18"/>
          <w:szCs w:val="18"/>
          <w:color w:val="auto"/>
        </w:rPr>
        <w:t>, which also became effective on January 1, 2008 and last revised on December 6,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effect from January 20, 2025. On December 26, 2007, the State Council issued the </w:t>
      </w:r>
      <w:r>
        <w:rPr>
          <w:rFonts w:ascii="Times New Roman" w:cs="Times New Roman" w:eastAsia="Times New Roman" w:hAnsi="Times New Roman"/>
          <w:sz w:val="18"/>
          <w:szCs w:val="18"/>
          <w:i w:val="1"/>
          <w:iCs w:val="1"/>
          <w:color w:val="auto"/>
        </w:rPr>
        <w:t>Notice on Implementation of Enterprise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Transition Preferential Policy under the PRC Enterprise Income Tax Law</w:t>
      </w:r>
      <w:r>
        <w:rPr>
          <w:rFonts w:ascii="Times New Roman" w:cs="Times New Roman" w:eastAsia="Times New Roman" w:hAnsi="Times New Roman"/>
          <w:sz w:val="18"/>
          <w:szCs w:val="18"/>
          <w:color w:val="auto"/>
        </w:rPr>
        <w:t>, which became effective simultaneously with the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Income Tax Law. The PRC Enterprise Income Tax Law imposes a uniform enterprise income tax rate of 25% on all domestic enterprises, including foreign-invested enterprises unless they qualify for certain exceptions, and terminates most of the tax exemptions, reductions and preferential treatments available under previous tax laws and regulations. Under the PRC Enterprise Income Tax Law and such circular, enterprises that were established before March 16, 2007 and already enjoyed preferential tax treatments may continue to enjoy them (i) in the case of preferential tax rates, for a period of five years from January 1, 2008; during the five-year period, the tax rate will gradually increase from 15% to 25%, or (ii) in the case of preferential tax exemption or reduction for a specified term, until the expiration of such term. In addition, the PRC Enterprise Income Tax Law and its implementation rules permit qualified “high and new technology enterprises” to enjoy a reduced enterprise income tax rate of 15%.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Moreover, under the PRC Enterprise Income Tax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of the PRC Enterprise Income Tax define the term “de facto management body” as the management body that exercises full and substantial control and overall management over the business, productions, personnel, accounts and properties of an enterprise. In addition, the </w:t>
      </w:r>
      <w:r>
        <w:rPr>
          <w:rFonts w:ascii="Times New Roman" w:cs="Times New Roman" w:eastAsia="Times New Roman" w:hAnsi="Times New Roman"/>
          <w:sz w:val="18"/>
          <w:szCs w:val="18"/>
          <w:i w:val="1"/>
          <w:iCs w:val="1"/>
          <w:color w:val="auto"/>
        </w:rPr>
        <w:t>Circular Related to Relevant Issues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Identification of a Chinese holding Company Incorporated Overseas as a Residential Enterprise under the Criterion of De Facto Management Bodies </w:t>
      </w:r>
      <w:r>
        <w:rPr>
          <w:rFonts w:ascii="Times New Roman" w:cs="Times New Roman" w:eastAsia="Times New Roman" w:hAnsi="Times New Roman"/>
          <w:sz w:val="18"/>
          <w:szCs w:val="18"/>
          <w:color w:val="auto"/>
        </w:rPr>
        <w:t>issued by the State Administration of Taxation on April 22, 2009 provides that a foreign enterprise controlled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enterprise or a PRC enterprise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at least half of the enterprise’s directors or senior management with voting rights reside in the PRC. Although the circular only applies to offshore enterprises controlled by PRC enterprises or PRC enterprise groups and not those controlled by PRC individuals or foreigners, the determining criteria set forth in the circular may reflect the general position of the State Administration of Taxation on how the “de facto management body” text should be applied in determining the tax resident status of offshore enterprises, regardless of whether they are controlled by PRC enterprises, individuals or foreigners.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April 2020, the Ministry of Finance, the State Administration of Taxation and the NDRC issued the </w:t>
      </w:r>
      <w:r>
        <w:rPr>
          <w:rFonts w:ascii="Times New Roman" w:cs="Times New Roman" w:eastAsia="Times New Roman" w:hAnsi="Times New Roman"/>
          <w:sz w:val="18"/>
          <w:szCs w:val="18"/>
          <w:i w:val="1"/>
          <w:iCs w:val="1"/>
          <w:color w:val="auto"/>
        </w:rPr>
        <w:t>Announcement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Continuing the Enterprise Income Tax Policies for the Large-Scale Development of Western China</w:t>
      </w:r>
      <w:r>
        <w:rPr>
          <w:rFonts w:ascii="Times New Roman" w:cs="Times New Roman" w:eastAsia="Times New Roman" w:hAnsi="Times New Roman"/>
          <w:sz w:val="18"/>
          <w:szCs w:val="18"/>
          <w:color w:val="auto"/>
        </w:rPr>
        <w:t>, which became effective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allowing enterprises operated in an encouraged industry that is established in western China to pay the enterprise income tax at a reduced rate of 15% from January 1, 2021 to December 31, 2030.</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are not controlled by a PRC enterprise or PRC enterprise group and we do not believe that we meet all of the above-mentioned conditions, substantial uncertainty exists as to whether we will be deemed a PRC resident enterprise for enterprise income tax purpose. In the event that we are considered a PRC resident enterprise, we would be subject to the PRC enterprise income tax at the rate of 25% on our worldwide income, but the dividends that we receive from our PRC subsidiaries would be exempt from the PRC withholding tax since such income is exempted under the PRC Enterprise Income Tax Law for a PRC resident enterprise recipient. See “Item 3. Key Information—D. Risk Factors—Risks Related to Doing Business in China—Our global income may be subject to PRC taxes under the PRC Enterprise Income Tax Law, which may have a material adverse effect on our results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PRC tax laws and regulations, arrangements and transactions among related parties may be subject to audit or scrutiny by the PRC tax authorities within ten years after the taxable year when the arrangements or transactions are conducted. We could face material and adverse tax consequences if the PRC tax authorities were to determine that the contractual arrangements among our WFOEs, the variable interest entities and their respective shareholders, as well as the intellectual property framework agreement between Xunlei Computer and Shenzhen Xunlei, were not entered into on an arm’s-length basis and therefore constituted unfavorable transfer pricing arrangements. Unfavorable transfer pricing arrangements could, among other things, result in an upward adjustment to the tax liability of Shenzhen Xunlei, and the PRC tax authorities may impose interest on late payments on Shenzhen Xunlei for the adjusted but unpaid taxes. Our results of operations may be materially and adversely affected if Shenzhen Xunlei’s tax liabilities increase significantly or if it is required to pay interest on late payments.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PRC value added tax</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May 24, 2013, the Ministry of Finance and the State Administration of Taxation issued the </w:t>
      </w:r>
      <w:r>
        <w:rPr>
          <w:rFonts w:ascii="Times New Roman" w:cs="Times New Roman" w:eastAsia="Times New Roman" w:hAnsi="Times New Roman"/>
          <w:sz w:val="18"/>
          <w:szCs w:val="18"/>
          <w:i w:val="1"/>
          <w:iCs w:val="1"/>
          <w:color w:val="auto"/>
        </w:rPr>
        <w:t>Circular on Tax Policies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Nationwide Pilot Collection of Value Added Tax in Lieu of Business Tax in the Transportation Industry and Certain Modern Services Industries</w:t>
      </w:r>
      <w:r>
        <w:rPr>
          <w:rFonts w:ascii="Times New Roman" w:cs="Times New Roman" w:eastAsia="Times New Roman" w:hAnsi="Times New Roman"/>
          <w:sz w:val="18"/>
          <w:szCs w:val="18"/>
          <w:color w:val="auto"/>
        </w:rPr>
        <w:t>. The scope of certain modern services industries under this circular extends to the inclusion of radio and television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23, 2016, the Ministry of Finance and the State Administration of Taxation jointly issued the Circular on the Pilot Program for Overall Implementation of the Collection of Value Added Tax Instead of Business Tax, which took effect on May 1, 2016. Pursuant to this circular, all of the companies operating in construction, real estate, finance, modern service or other sectors which were required to pay business tax are required to pay value-added tax, in lieu of business tax. The value-added tax rate is 6%, except for rate of 11% for real estate sale, land use right transferring and providing service of transportation, postal sector, basic telecommunications, construction, real estate lease; rate of 17% for providing lease service of tangible property; and rate of zero for specific cross-bond activities.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April 4, 2018, the Ministry of Finance and the State Administration of Taxation issued the </w:t>
      </w:r>
      <w:r>
        <w:rPr>
          <w:rFonts w:ascii="Times New Roman" w:cs="Times New Roman" w:eastAsia="Times New Roman" w:hAnsi="Times New Roman"/>
          <w:sz w:val="18"/>
          <w:szCs w:val="18"/>
          <w:i w:val="1"/>
          <w:iCs w:val="1"/>
          <w:color w:val="auto"/>
        </w:rPr>
        <w:t>Circular on Adjustment of Value-added Tax Rates</w:t>
      </w:r>
      <w:r>
        <w:rPr>
          <w:rFonts w:ascii="Times New Roman" w:cs="Times New Roman" w:eastAsia="Times New Roman" w:hAnsi="Times New Roman"/>
          <w:sz w:val="18"/>
          <w:szCs w:val="18"/>
          <w:color w:val="auto"/>
        </w:rPr>
        <w:t>, which became effective on May 1, 2018. According to this circular, certain value-added tax rates have been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1, 2018, such as (i) value-added tax rates of 17% and 11% applicable to the taxpayers who have value-added tax taxable sales activities or imported goods are adjusted to 16% and 10%, respectively; and (ii) value-added tax rate of 11% originally applicable to the taxpayers who purchase agricultural products is adjusted to 10%.</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March 20, 2019, the Ministry of Finance, the State Administration of Taxation and the General Administration of Customs of the PRC issued the </w:t>
      </w:r>
      <w:r>
        <w:rPr>
          <w:rFonts w:ascii="Times New Roman" w:cs="Times New Roman" w:eastAsia="Times New Roman" w:hAnsi="Times New Roman"/>
          <w:sz w:val="18"/>
          <w:szCs w:val="18"/>
          <w:i w:val="1"/>
          <w:iCs w:val="1"/>
          <w:color w:val="auto"/>
        </w:rPr>
        <w:t>Announcement on Relevant Policies for Deepening Value-Added Tax Reform</w:t>
      </w:r>
      <w:r>
        <w:rPr>
          <w:rFonts w:ascii="Times New Roman" w:cs="Times New Roman" w:eastAsia="Times New Roman" w:hAnsi="Times New Roman"/>
          <w:sz w:val="18"/>
          <w:szCs w:val="18"/>
          <w:color w:val="auto"/>
        </w:rPr>
        <w:t>, which became effective on April 1, 2019. According to this announcement, starting from April 1, 2019, the value-added tax rate of 10% was adjusted to 9% while the VAT rate of 16% was adjusted to 13%.</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PRC dividend withholding tax</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Pursuant to the PRC Enterprise Income Tax Law and its implementation rules, dividends generated after January 1, 2008 and payable by a foreign-invested enterprise in China to its foreign enterprise investors are subject to a 10% withholding tax, unless any such foreign investor’s jurisdiction of incorporation has a tax treaty with China that provides for a different withholding arrangement. Under the </w:t>
      </w:r>
      <w:r>
        <w:rPr>
          <w:rFonts w:ascii="Times New Roman" w:cs="Times New Roman" w:eastAsia="Times New Roman" w:hAnsi="Times New Roman"/>
          <w:sz w:val="18"/>
          <w:szCs w:val="18"/>
          <w:i w:val="1"/>
          <w:iCs w:val="1"/>
          <w:color w:val="auto"/>
        </w:rPr>
        <w:t>China-Hong Kong Taxation Arrangement</w:t>
      </w:r>
      <w:r>
        <w:rPr>
          <w:rFonts w:ascii="Times New Roman" w:cs="Times New Roman" w:eastAsia="Times New Roman" w:hAnsi="Times New Roman"/>
          <w:sz w:val="18"/>
          <w:szCs w:val="18"/>
          <w:color w:val="auto"/>
        </w:rPr>
        <w:t xml:space="preserve">, income tax on dividends payable to a company resident in Hong Kong that holds more than a 25% equity interest in a PRC resident enterprise may be reduced to a rate of 5%. In February 2018, the State Administration of Taxation issued a new circular on issues relating to “beneficial owner” in tax treaties, which became effective on April 1, 2018. This circular provides a more flexible guidance to determine whether the applicant engages in substantive business activities. Furthermore, under </w:t>
      </w:r>
      <w:r>
        <w:rPr>
          <w:rFonts w:ascii="Times New Roman" w:cs="Times New Roman" w:eastAsia="Times New Roman" w:hAnsi="Times New Roman"/>
          <w:sz w:val="18"/>
          <w:szCs w:val="18"/>
          <w:i w:val="1"/>
          <w:iCs w:val="1"/>
          <w:color w:val="auto"/>
        </w:rPr>
        <w:t>the Administrative Measures for Entitlement to Treaty Benefits for Non-resident Taxpayers</w:t>
      </w:r>
      <w:r>
        <w:rPr>
          <w:rFonts w:ascii="Times New Roman" w:cs="Times New Roman" w:eastAsia="Times New Roman" w:hAnsi="Times New Roman"/>
          <w:sz w:val="18"/>
          <w:szCs w:val="18"/>
          <w:color w:val="auto"/>
        </w:rPr>
        <w:t xml:space="preserve">, non-resident taxpayers which satisfy the criteria for entitlement to tax treaty benefits may, at the time of tax declaration or withholding declaration through a withholding agent, enjoy the tax treaty benefits and are subject to further regulation by the tax authorities. If non-resident taxpayers fail to claim the tax treaty benefits with the withholding agent, or the materials and the information contained in the relevant reports and statements provided to the withholding agent do not satisfy the criteria for entitlement to tax treaty benefits, the withholding agent shall withhold tax pursuant to the provisions of PRC tax laws. In addition, according to a tax circular issued by State Administration of Taxation in February 2009, if the main purpose of an offshore arrangement is to obtain a preferential tax treatment, the PRC tax authorities have the discretion to adjust the preferential tax rate enjoyed by the relevant offshore entity. Although Xunlei Computer is currently wholly owned by Xunlei Network HK, we cannot assure you that we will be able to enjoy the preferential withholding tax rate of 5% under </w:t>
      </w:r>
      <w:r>
        <w:rPr>
          <w:rFonts w:ascii="Times New Roman" w:cs="Times New Roman" w:eastAsia="Times New Roman" w:hAnsi="Times New Roman"/>
          <w:sz w:val="18"/>
          <w:szCs w:val="18"/>
          <w:i w:val="1"/>
          <w:iCs w:val="1"/>
          <w:color w:val="auto"/>
        </w:rPr>
        <w:t>the China-Hong Kong Taxation Arrangement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labor laws and social insurance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 Violations of the PRC Labor Contract Law and the PRC Labor Law may result in the imposition of fines and other administrative liabilities. Criminal liability may arise for serious violations.</w:t>
      </w:r>
    </w:p>
    <w:p>
      <w:pPr>
        <w:spacing w:after="0" w:line="1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addition, according to the PRC Social Insurance Law and </w:t>
      </w:r>
      <w:r>
        <w:rPr>
          <w:rFonts w:ascii="Times New Roman" w:cs="Times New Roman" w:eastAsia="Times New Roman" w:hAnsi="Times New Roman"/>
          <w:sz w:val="18"/>
          <w:szCs w:val="18"/>
          <w:i w:val="1"/>
          <w:iCs w:val="1"/>
          <w:color w:val="auto"/>
        </w:rPr>
        <w:t>the Regulations on the Administration of Housing Provident Funds</w:t>
      </w:r>
      <w:r>
        <w:rPr>
          <w:rFonts w:ascii="Times New Roman" w:cs="Times New Roman" w:eastAsia="Times New Roman" w:hAnsi="Times New Roman"/>
          <w:sz w:val="18"/>
          <w:szCs w:val="18"/>
          <w:color w:val="auto"/>
        </w:rPr>
        <w:t>, employers in China are obliged to provide employees with welfare schemes covering pension insurance, unemployment insurance, maternity insurance, work-related injury insurance, medical insurance and housing funds.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comply with these laws and regulations, we have caused all of our full-time employees to enter into labor contracts and provide our employees with the proper welfare and employment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foreign exchange control and administration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 exchange regulation in the PRC is primarily governed by the following regulations:</w:t>
      </w:r>
    </w:p>
    <w:p>
      <w:pPr>
        <w:spacing w:after="0" w:line="183" w:lineRule="exact"/>
        <w:rPr>
          <w:sz w:val="20"/>
          <w:szCs w:val="20"/>
          <w:color w:val="auto"/>
        </w:rPr>
      </w:pPr>
    </w:p>
    <w:p>
      <w:pPr>
        <w:ind w:left="1000" w:hanging="317"/>
        <w:spacing w:after="0" w:line="284"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Exchange Administration Rules</w:t>
      </w:r>
      <w:r>
        <w:rPr>
          <w:rFonts w:ascii="Times New Roman" w:cs="Times New Roman" w:eastAsia="Times New Roman" w:hAnsi="Times New Roman"/>
          <w:sz w:val="18"/>
          <w:szCs w:val="18"/>
          <w:color w:val="auto"/>
        </w:rPr>
        <w:t>, which was promulgated by the State Council on January 29, 1996 and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14, 1997 and on August 5, 2008 respectively; and</w:t>
      </w:r>
    </w:p>
    <w:p>
      <w:pPr>
        <w:spacing w:after="0" w:line="119"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Rules of the Settlement, Sale and Payment of Foreign Exchange, promulgated by the People’s Bank of The PRC on June 20, 1996.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Foreign Exchange Administration Rules</w:t>
      </w:r>
      <w:r>
        <w:rPr>
          <w:rFonts w:ascii="Times New Roman" w:cs="Times New Roman" w:eastAsia="Times New Roman" w:hAnsi="Times New Roman"/>
          <w:sz w:val="18"/>
          <w:szCs w:val="18"/>
          <w:color w:val="auto"/>
        </w:rPr>
        <w:t xml:space="preserve">, Renminbi is convertible for current account items, including the distribution of dividends, interest payments, trade and service-related foreign exchange transactions. As for capital account items, such as direct investments, loans, security investments and the repatriation of investment returns, however, the conversion of foreign currency is still subject to the approval of, or registration with, SAFE or its competent local branches; while for the foreign currency payments for current account items, the SAFE approval is not necessary for the conversion of Renminbi except as otherwise explicitly provided by laws and regulations. Under the </w:t>
      </w:r>
      <w:r>
        <w:rPr>
          <w:rFonts w:ascii="Times New Roman" w:cs="Times New Roman" w:eastAsia="Times New Roman" w:hAnsi="Times New Roman"/>
          <w:sz w:val="18"/>
          <w:szCs w:val="18"/>
          <w:i w:val="1"/>
          <w:iCs w:val="1"/>
          <w:color w:val="auto"/>
        </w:rPr>
        <w:t>Administration Rules of the Settlement, Sale and Payment of Foreign Exchange</w:t>
      </w:r>
      <w:r>
        <w:rPr>
          <w:rFonts w:ascii="Times New Roman" w:cs="Times New Roman" w:eastAsia="Times New Roman" w:hAnsi="Times New Roman"/>
          <w:sz w:val="18"/>
          <w:szCs w:val="18"/>
          <w:color w:val="auto"/>
        </w:rPr>
        <w:t>, enterprises may only buy, sell or remit foreign currencies at banks that are authorized to conduct foreign exchange business after the enterprise provides valid commercial documents and supporting documents and, in the case of certain capital account transactions, after obtaining approval from SAFE or its competent local branches. Capital investments by enterprises outside of the PRC are also subject to limitations, which include approvals by or registration with the Ministry of Commerce, SAFE and NDRC, or their respective competent local branches. On July 21, 2005, the PRC government changed its policy of pegging the value of the Renminbi to the U.S. dollar. Under the new policy, the Renminbi is permitted to fluctuate within a band against a basket of certain foreign currencies.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March 2015, SAFE issued the </w:t>
      </w:r>
      <w:r>
        <w:rPr>
          <w:rFonts w:ascii="Times New Roman" w:cs="Times New Roman" w:eastAsia="Times New Roman" w:hAnsi="Times New Roman"/>
          <w:sz w:val="18"/>
          <w:szCs w:val="18"/>
          <w:i w:val="1"/>
          <w:iCs w:val="1"/>
          <w:color w:val="auto"/>
        </w:rPr>
        <w:t>Circular on Reform of the Administrative Rules of the Payment and Settlement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Capital of Foreign Invested Enterprises</w:t>
      </w:r>
      <w:r>
        <w:rPr>
          <w:rFonts w:ascii="Times New Roman" w:cs="Times New Roman" w:eastAsia="Times New Roman" w:hAnsi="Times New Roman"/>
          <w:sz w:val="18"/>
          <w:szCs w:val="18"/>
          <w:color w:val="auto"/>
        </w:rPr>
        <w:t>, effective on June 1, 2015, pursuant to which foreign-invested enterprises may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continue to follow the current payment-based foreign currency settlement system or elect to follow the “conversion-at-will” regime of foreign currency settlement. Where a foreign-invested enterprise follows the conversion-at-will regime of foreign currency settlement, it may convert part or all of the amount of the foreign currency in its capital account into Renminbi at any time. The converted Renminbi will be kept in a designated account labeled as settled but pending payment, and if the foreign-invested enterprise needs to make payment from such designated account, it still needs to go through the review process with its bank and provide necessary supporting documents. This circular, therefore, has substantially lifted the restrictions on the usage by a foreign-invested enterprise of its Renminbi-registered capital converted from foreign currencies. According to this circular, such Renminbi capital may be used at the discretion of the foreign-invested enterprise and the SAFE will eliminate the prior approval requirement and only examine the authenticity of the declared usage afterwards. SAFE subsequently issued the </w:t>
      </w:r>
      <w:r>
        <w:rPr>
          <w:rFonts w:ascii="Times New Roman" w:cs="Times New Roman" w:eastAsia="Times New Roman" w:hAnsi="Times New Roman"/>
          <w:sz w:val="18"/>
          <w:szCs w:val="18"/>
          <w:i w:val="1"/>
          <w:iCs w:val="1"/>
          <w:color w:val="auto"/>
        </w:rPr>
        <w:t>Circular on Reforming and Regulating Policies on the Control over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Settlement of Capital Accounts </w:t>
      </w:r>
      <w:r>
        <w:rPr>
          <w:rFonts w:ascii="Times New Roman" w:cs="Times New Roman" w:eastAsia="Times New Roman" w:hAnsi="Times New Roman"/>
          <w:sz w:val="18"/>
          <w:szCs w:val="18"/>
          <w:color w:val="auto"/>
        </w:rPr>
        <w:t>on June 9, 2016. This circular provides an integrated standard for conversion of foreign exchange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account items (including, but not limited to, foreign currency capital and foreign debts) on discretionary basis which applies to all enterprises registered in China. This circular also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or used for construction and purchase of non-self-used real estate (excluding real estate enterprises) or unless otherwise expressly provided in law, directly or indirectly used in securities investment or other financial management excluding the bank capital preservation products.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May 4, 2015, SAFE promulgated the </w:t>
      </w:r>
      <w:r>
        <w:rPr>
          <w:rFonts w:ascii="Times New Roman" w:cs="Times New Roman" w:eastAsia="Times New Roman" w:hAnsi="Times New Roman"/>
          <w:sz w:val="18"/>
          <w:szCs w:val="18"/>
          <w:i w:val="1"/>
          <w:iCs w:val="1"/>
          <w:color w:val="auto"/>
        </w:rPr>
        <w:t>Circular of Further Improving and Adjusting Foreign Exchange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on Foreign Direct Investment (2015 Amendment)</w:t>
      </w:r>
      <w:r>
        <w:rPr>
          <w:rFonts w:ascii="Times New Roman" w:cs="Times New Roman" w:eastAsia="Times New Roman" w:hAnsi="Times New Roman"/>
          <w:sz w:val="18"/>
          <w:szCs w:val="18"/>
          <w:color w:val="auto"/>
        </w:rPr>
        <w:t>, which became effective on the same date. This circular substantially amends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simplifies the current foreign exchange procedure. The major developments under this circular are that the opening of various special purpose foreign exchange accounts (e.g., pre-establishment expenses account, foreign exchange capital account, guarantee account) no longer requires the approval of SAFE. Furthermore, multiple capital accounts for the same entity may be opened in different provinces, which was not possible before the promulgation of this circular. Reinvestment of Renminbi proceeds by foreign investors in the PRC no longer requires SAFE approval or verification, and remittance of foreign exchange profits and dividends by a foreign-invested enterprise to its foreign shareholders no longer requires SAFE approval.</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May 10, 2013, SAFE promulgated the </w:t>
      </w:r>
      <w:r>
        <w:rPr>
          <w:rFonts w:ascii="Times New Roman" w:cs="Times New Roman" w:eastAsia="Times New Roman" w:hAnsi="Times New Roman"/>
          <w:sz w:val="18"/>
          <w:szCs w:val="18"/>
          <w:i w:val="1"/>
          <w:iCs w:val="1"/>
          <w:color w:val="auto"/>
        </w:rPr>
        <w:t>Circular on Printing and Distributing the Provisions on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over Domestic Direct Investment by Foreign Investors and the Supporting Documents</w:t>
      </w:r>
      <w:r>
        <w:rPr>
          <w:rFonts w:ascii="Times New Roman" w:cs="Times New Roman" w:eastAsia="Times New Roman" w:hAnsi="Times New Roman"/>
          <w:sz w:val="18"/>
          <w:szCs w:val="18"/>
          <w:color w:val="auto"/>
        </w:rPr>
        <w:t>, which specifies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by SAFE or its local branches over direct investment by foreign investors in the PRC shall be 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2015, SAFE promulgated the </w:t>
      </w:r>
      <w:r>
        <w:rPr>
          <w:rFonts w:ascii="Times New Roman" w:cs="Times New Roman" w:eastAsia="Times New Roman" w:hAnsi="Times New Roman"/>
          <w:sz w:val="18"/>
          <w:szCs w:val="18"/>
          <w:i w:val="1"/>
          <w:iCs w:val="1"/>
          <w:color w:val="auto"/>
        </w:rPr>
        <w:t>Circular of the State Administration of Foreign Exchange on Further Simplifying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Improving the Policies Concerning Foreign Exchange Control on Direct Investment</w:t>
      </w:r>
      <w:r>
        <w:rPr>
          <w:rFonts w:ascii="Times New Roman" w:cs="Times New Roman" w:eastAsia="Times New Roman" w:hAnsi="Times New Roman"/>
          <w:sz w:val="18"/>
          <w:szCs w:val="18"/>
          <w:color w:val="auto"/>
        </w:rPr>
        <w:t>, which took effect on June 1, 2015. This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delegates the authority to enforce the foreign exchange registration in connection with the inbound and outbound direct investment under SAFE rules to certain banks and therefore further simplifies the foreign exchange registration procedures for inbound and outbound direct investment. On April 26, 2016, SAFE issued the Circular of the State Administration of Foreign Exchange on Further Promoting Trade and Investment Facilitation and Improving Authenticity Review, which provides that for outward remittances of the profit equivalent of more than US$50,000 (exclusive) by domestic institutions, banks shall review relevant board resolutions (or the partnership resolution) on profit distribution, the original copies of tax return forms and the financial statements evidencing the profits, in accordance with the principle of authentic transactions.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SAFE promulgated </w:t>
      </w:r>
      <w:r>
        <w:rPr>
          <w:rFonts w:ascii="Times New Roman" w:cs="Times New Roman" w:eastAsia="Times New Roman" w:hAnsi="Times New Roman"/>
          <w:sz w:val="18"/>
          <w:szCs w:val="18"/>
          <w:i w:val="1"/>
          <w:iCs w:val="1"/>
          <w:color w:val="auto"/>
        </w:rPr>
        <w:t>the Circular on Further Improving the Reform of Foreign Exchange Administration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Optimizing Genuineness and Compliance Verification</w:t>
      </w:r>
      <w:r>
        <w:rPr>
          <w:rFonts w:ascii="Times New Roman" w:cs="Times New Roman" w:eastAsia="Times New Roman" w:hAnsi="Times New Roman"/>
          <w:sz w:val="18"/>
          <w:szCs w:val="18"/>
          <w:color w:val="auto"/>
        </w:rPr>
        <w:t>, which provides several capital control measures with respect to the outbound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remittance of profit from domestic entities to offshore entities, including (i) under the principle of genuine transaction, banks should check board resolutions regarding profit distribution, the original version of tax filing records and audited financial statements; and (ii) domestic entities should hold income to account for previous years’ losses before remitting the profits. Furthermore, according to this circular, domestic entities should make detailed explanations of the sources of capital and utilization arrangements, and provide board resolutions, contracts and other proof when completing the registration procedures in connection with an outbound investment.</w:t>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October 23, 2019, SAFE promulgated the </w:t>
      </w:r>
      <w:r>
        <w:rPr>
          <w:rFonts w:ascii="Times New Roman" w:cs="Times New Roman" w:eastAsia="Times New Roman" w:hAnsi="Times New Roman"/>
          <w:sz w:val="18"/>
          <w:szCs w:val="18"/>
          <w:i w:val="1"/>
          <w:iCs w:val="1"/>
          <w:color w:val="auto"/>
        </w:rPr>
        <w:t>Notice of the State Administration of Foreign Exchange on Further Promoting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Cross-border Trade and Investment</w:t>
      </w:r>
      <w:r>
        <w:rPr>
          <w:rFonts w:ascii="Times New Roman" w:cs="Times New Roman" w:eastAsia="Times New Roman" w:hAnsi="Times New Roman"/>
          <w:sz w:val="18"/>
          <w:szCs w:val="18"/>
          <w:color w:val="auto"/>
        </w:rPr>
        <w:t>. Pursuant to this circular, restrictions on domestic equity investments made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funds by non-investing foreign-funded enterprises and restrictions on the use of funds in domestic asset realization accounts for foreign exchange settlement are canceled.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foreign exchange registration of offshore investment by PRC residents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No. 37, on July 4, 2014. This circular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this circular as a “special purpose vehicle.” The term “control” under this circular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This circular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the offshore holding company who are PRC residents do not complete their registration with the local SAFE branches, the PRC subsidiaries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the amendment requirements described above could result in liability under PRC law for the evasion of applicable foreign exchange restrictions. On February 13, 2015, SAFE issued the Circular of the State Administration of Foreign Exchange on Further Simplifying and Improving the Policies Concerning Foreign Exchange Control on Direct Investment, which took effect on June 1, 2015. This circular delegates to the qualified banks the authority to register all PRC residents’ investment in “special purpose vehicle” pursuant to the SAFE Circular No. 37, except that those PRC residents who have failed to comply with the SAFE Circular No. 37 will continue to fall within the jurisdiction of the local SAFE branches and must make their supplementary registration application with such local SAFE branches.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requested PRC residents holding direct or indirect interest in our company to our knowledge to make the necessary applications, filings and amendments as required under SAFE Circular No. 37 and other related rules. However, we may not be informed of the identities of all the PRC residents holding direct or indirect interest in our company, and we cannot provide any assurances that these PRC residents will comply with our request to make or obtain any applicable registrations or comply with other requirements required by SAFE Circular No. 37 or other related rules. The failure or inability of our PRC resident shareholders to make any required registrations or comply with other requirements under SAFE Circular No. 37 and other related rules may subject such PRC residents or our PRC subsidiaries to fines and legal sanctions and may also limit our ability to raise additional financing and contribute additional capital into or provide loans to (including using the proceeds from our initial public offering) our PRC subsidiaries, limit our PRC subsidiaries’ ability to pay dividends or otherwise distribute profits to us, or otherwise adversely affect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employee share options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25, 2006, the People’s Bank of China promulgated the Administrative Measures for Individual Foreign Exchange. On February 15, 2012, SAFE issued the Notices on Issues concerning the Foreign Exchange Administration for Domestic Individuals Participating in Stock Incentive Plans of Overseas Publicly-Listed Companies. Pursuant to these notices, PRC residents who are granted shares or stock options by companies listed on overseas stock exchanges according to the stock incentive plans are required to register with SAFE or its local branches, and PRC residents participating in the stock incentive plans of overseas listed companies shall retain a qualified PRC agent, which could be a PRC subsidiary of such overseas publicly-listed company or another qualified institution selected by such PRC subsidiary, to conduct the SAFE registration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PRC agents are required to amend the SAFE registration with respect to the stock incentive plan if there is any material change to the stock incentive plan, the PRC agents or the overseas entrusted institution or other material changes. The PRC agents shall,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the PRC agents shall file each quarter the form for record-filing of information of the domestic individuals participating in the stock incentive plans of overseas listed companies with SAFE or its local branches.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PRC citizen employees who have been granted share options or restricted shares, or PRC grantees, are subject to the Notices on Issues concerning the Foreign Exchange Administration for Domestic Individuals Participating in Stock Incentive Plans of Overseas Publicly-Listed Companies. If we or our PRC grantees fail to comply with these notices and the Administrative Measures for Individual Foreign Exchange, we and/or our PRC grantees may be subject to fines and other legal sanctions. We may also face regulatory uncertainties that could restrict our ability to adopt additional share incentive plans for our directors and employees under PRC law. In addition, the State Administration for Taxation issued certain circulars concerning employee share awards. Under these circulars, our employees working in the PRC who exercise share options or hold the vested restricted shares will be subject to PRC individual income tax. Our PRC subsidiaries have obligations to file documents related to employee share awards with tax authorities and to withhold individual income taxes of those employees who exercise their share options or hold the vested restricted shares. If our employees fail to pay or we fail to withhold their income taxes according to laws and regulations, we may face sanctions imposed by the tax authorities or other PRC government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dividend distributions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PRC Company Law primarily governs the distribution of dividends paid by wholly foreign-owned enterprises after the PRC Foreign Investment Law and </w:t>
      </w:r>
      <w:r>
        <w:rPr>
          <w:rFonts w:ascii="Times New Roman" w:cs="Times New Roman" w:eastAsia="Times New Roman" w:hAnsi="Times New Roman"/>
          <w:sz w:val="18"/>
          <w:szCs w:val="18"/>
          <w:i w:val="1"/>
          <w:iCs w:val="1"/>
          <w:color w:val="auto"/>
        </w:rPr>
        <w:t>Regulation on the Implementation of the PRC Foreign Investment Law</w:t>
      </w:r>
      <w:r>
        <w:rPr>
          <w:rFonts w:ascii="Times New Roman" w:cs="Times New Roman" w:eastAsia="Times New Roman" w:hAnsi="Times New Roman"/>
          <w:sz w:val="18"/>
          <w:szCs w:val="18"/>
          <w:color w:val="auto"/>
        </w:rPr>
        <w:t xml:space="preserve"> came into effect. Under the PRC Company Law, enterprises in the PRC may pay dividends only out of their accumulated profits, if any, as determined in accordance with PRC accounting standards and regulations. In addition, an enterprise in the PRC is required to set aside at least 10% of its after-tax profit based on PRC accounting standards each year to its statutory common reserves until its cumulative total reserve funds reaches 50% of its registered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overseas listings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August 8, 2006, the Ministry of Commerce, the State Assets Supervision and Administration Commission, the State Administration for Taxation, the State Administration for Industry and Commerce, CSRC and SAFE jointly adopted </w:t>
      </w:r>
      <w:r>
        <w:rPr>
          <w:rFonts w:ascii="Times New Roman" w:cs="Times New Roman" w:eastAsia="Times New Roman" w:hAnsi="Times New Roman"/>
          <w:sz w:val="18"/>
          <w:szCs w:val="18"/>
          <w:i w:val="1"/>
          <w:iCs w:val="1"/>
          <w:color w:val="auto"/>
        </w:rPr>
        <w:t>the Regulations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and Acquisitions of Domestic Enterprises by Foreign Investors</w:t>
      </w:r>
      <w:r>
        <w:rPr>
          <w:rFonts w:ascii="Times New Roman" w:cs="Times New Roman" w:eastAsia="Times New Roman" w:hAnsi="Times New Roman"/>
          <w:sz w:val="18"/>
          <w:szCs w:val="18"/>
          <w:color w:val="auto"/>
        </w:rPr>
        <w:t>, or the M&amp;A Rules, which became effective on September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and was amended on June 22, 2009. The M&amp;A Rules purport to require that offshore special purpose vehicles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special purpose vehicles seeking CSRC approval of their overseas listings. While the application of the M&amp;A Rules remains unclear, our PRC legal counsel has advised us that based on its understanding of the current PRC laws, rules and regulations and the M&amp;A Rules, prior approval from the CSRC is not required under the M&amp;A Rules for the listing and trading of our ADSs on the Nasdaq Global Select Market, given that (i) our PRC subsidiaries were directly established by us as wholly foreign-owned enterprises, and we have not acquired any equity interest or assets of a PRC domestic company owned by PRC companies or individuals as defined under the M&amp;A Rules that are our beneficial owners after the effective date of the M&amp;A Rules, and (ii) no provision in the M&amp;A Rules clearly classifies the contractual arrangements as a type of transaction subject to the M&amp;A Rules.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July 6, 2021, the PRC government authorities issued </w:t>
      </w:r>
      <w:r>
        <w:rPr>
          <w:rFonts w:ascii="Times New Roman" w:cs="Times New Roman" w:eastAsia="Times New Roman" w:hAnsi="Times New Roman"/>
          <w:sz w:val="18"/>
          <w:szCs w:val="18"/>
          <w:i w:val="1"/>
          <w:iCs w:val="1"/>
          <w:color w:val="auto"/>
        </w:rPr>
        <w:t>Opinions on Strictly Cracking Down Illegal Securities Activities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Accordance with the Law</w:t>
      </w:r>
      <w:r>
        <w:rPr>
          <w:rFonts w:ascii="Times New Roman" w:cs="Times New Roman" w:eastAsia="Times New Roman" w:hAnsi="Times New Roman"/>
          <w:sz w:val="18"/>
          <w:szCs w:val="18"/>
          <w:color w:val="auto"/>
        </w:rPr>
        <w:t>. These opinions emphasized the need to strengthen the administration over illegal securities activities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on overseas listings by China-based companies and proposed to take effective measures, such as promoting the construction of regulatory systems to deal with the risks and incidents faced by China-based overseas-listed companies.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On February 17, 2023, the CSRC issued </w:t>
      </w:r>
      <w:r>
        <w:rPr>
          <w:rFonts w:ascii="Times New Roman" w:cs="Times New Roman" w:eastAsia="Times New Roman" w:hAnsi="Times New Roman"/>
          <w:sz w:val="18"/>
          <w:szCs w:val="18"/>
          <w:i w:val="1"/>
          <w:iCs w:val="1"/>
          <w:color w:val="auto"/>
        </w:rPr>
        <w:t>Trial Administrative Measures of Overseas Securities Offerings and Listings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 Companies</w:t>
      </w:r>
      <w:r>
        <w:rPr>
          <w:rFonts w:ascii="Times New Roman" w:cs="Times New Roman" w:eastAsia="Times New Roman" w:hAnsi="Times New Roman"/>
          <w:sz w:val="18"/>
          <w:szCs w:val="18"/>
          <w:color w:val="auto"/>
        </w:rPr>
        <w:t xml:space="preserve">, which became effective on March 31, 2023, and five supporting guidelines. These measures establish a new filing-based regime to regulate overseas offerings and listings by domestic companies. Specifically, an overseas follow-on offering or listing, or other equivalent offing activity, including issuance of convertible notes, exchangeable notes or preferred shares, by a domestic company, whether directly or indirectly, must be filed with the CSRC and comply with the requirements under these measures. The indirect overseas listing of domestic companies refers to companies mainly engaged in business activities in the PRC domestic market, which issue shares or other similar rights based on their domestic equity, assets, earnings, or similar rights in the name of a company registered overseas for overseas listing. The five supporting guidelines also provide that the examination and determination of an indirect offering and listing will be conducted on a substance-over-form basis, and an offering and listing shall be deemed as a PRC company’s indirect overseas offering and listing if the issuer meets both of the following conditions: (i) any of the operating income, gross profit, total assets, or net assets of the PRC companies in the most recent fiscal year was more than 50% of the relevant line item in the issuer’s audited consolidated financial statement for that year; and (ii) senior management personnel responsible for business operations and management are mostly PRC citizens or are ordinarily resident in the PRC, or the principal place of business is in the PRC or carried out in the PRC. In all such cases, the issuer or its designated principal operating PRC entity, as the case may be, shall file with the CSRC for its initial public offering, follow-on offering and other equivalent offering activities. Particularly, the issuer shall submit a filing with respect to its initial public offering and listing within three business days after its initial filing of the listing application, and submit a filing with respect to its follow-on offering within three business days after the completion of the follow-on offering. The issuer shall also submit a report with respect to the following material events within three business days after the occurrence and announcement of such event: (i) change of control rights; (ii) being investigated or punished by overseas securities regulatory authorities or competent authorities; (iii) change of listing status or listing board; and (iv) voluntary or mandatory termination of the listing. The five supporting guidelines specify that “control relationship” or “control right” under the </w:t>
      </w:r>
      <w:r>
        <w:rPr>
          <w:rFonts w:ascii="Times New Roman" w:cs="Times New Roman" w:eastAsia="Times New Roman" w:hAnsi="Times New Roman"/>
          <w:sz w:val="18"/>
          <w:szCs w:val="18"/>
          <w:i w:val="1"/>
          <w:iCs w:val="1"/>
          <w:color w:val="auto"/>
        </w:rPr>
        <w:t>Trial Administrative Measures of Overseas Securities Offerings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Listings by Domestic Companies </w:t>
      </w:r>
      <w:r>
        <w:rPr>
          <w:rFonts w:ascii="Times New Roman" w:cs="Times New Roman" w:eastAsia="Times New Roman" w:hAnsi="Times New Roman"/>
          <w:sz w:val="18"/>
          <w:szCs w:val="18"/>
          <w:color w:val="auto"/>
        </w:rPr>
        <w:t>refer to the actual control of the company by means of equity, voting rights, trusts, agreements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arrangements, either individually or jointly, directly or indirectly. Given this scope, these measures are intended to apply to PRC companies that use a variable interest entity structure. These measures also identify certain circumstances that will preclude issuers from pursuing overseas offerings and listings, including (i) explicit prohibition from financing through listing by laws, administrative regulations or national provisions; (ii) recognition by the competent department of the State Council that the issuer’s overseas offering and listing may harm national security; (iii) commission of criminal offenses, such as embezzlement, bribery, misappropriation of property, or disruption of market orders by the domestic companies, its controlling shareholder, or the actual controller within the past three years; (iv) ongoing investigation by law enforcement agencies for suspected criminal or significant illegal and irregular activities without any clear conclusion yet; and (v) material ownership disputes over shares held by the controlling shareholder or by other shareholders that are controlled by controlling shareholder and/or actual controller. Additionally, these measures include certain compliance requirements for issuers, such as compliance with national security laws, regulations and provisions on foreign investment, cyber security and data security, and address that security review procedures, if involved, shall be carried out in accordance with laws prior to submitting the application for overseas offering and listing. Failure to comply with the filing requirements under these measures may result in warnings, rectification and fines of not less than RMB1 million and not more than RMB10 million for the PRC companies. The responsible persons may face a warning and fines of not less than RB0.5 million and not more than RMB5 million. Additionally, fines of not less than RMB1 million and not more than RMB10 million may be imposed on the PRC company’s controlling shareholder and actual controller who organizes or instructs the violation. These measures have no retroactive effect.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the CSRC together with other PRC governmental authorities issued the Provisions on Strengthening the Management of Confidentiality and Archives regarding Overseas Securities Offerings and Listings by Domestic Companies, effective March 31, 2023, pursuant to which domestic companies, securities companies and securities service institutions involved in the overseas offerings and listings by PRC domestic companies, either in direct or indirect form, must establish a system of confidentiality and archival management to prevent disclosure of state secrets or harm to the state and public interests. These provisions require domestic companies involved in overseas offerings and listings to obtain approval from the competent authority and file with the secrecy administrative department at the same level before providing or publicly disclosing any document or material that involves state secrets or working secrets of state organizations. They must strictly follow relevant procedures in accordance with regulations to provide any document or material, the leakage of which may have adverse effects on national security or public interests. Domestic companies must provide a statement to securities companies and securities service institutions indicating that they have followed these requirements. Additionally, domestic companies must enter into a confidentiality agreement with securities companies and securities service institutions to specify their confidentiality obligations and liabilities in accordance with laws and regulations, including the PRC Laws on Protecting State Secrets and the Confidentiality and Archives Management Provisions. Working papers produced by securities companies and securities service institutions within the PRC for overseas offerings and listings shall also be stored within the PRC. These provisions also require domestic companies to complete relevant procedures before providing accounting archives to entities, including securities companies, securities service institutions, overseas regulators, and individuals. Domestic companies, securities companies and securities service institutions must obtain approvals before providing documents and information in response to inspections and investigations by overseas regulators. These inspections and investigations should be conducted via the cross-border supervision mechanism whereby the PRC regulators will provide necessary assistance.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initial coin offerings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4, 2017, the People’s Bank of China, the Office of the Central Leading Group for Cyberspace Affairs, the Ministry of Industry and Information Technology, the State Administration for Industry and Commerce, the China Banking Regulatory Commission, the CSRC and the China Insurance Regulatory Commission jointly promulgated </w:t>
      </w:r>
      <w:r>
        <w:rPr>
          <w:rFonts w:ascii="Times New Roman" w:cs="Times New Roman" w:eastAsia="Times New Roman" w:hAnsi="Times New Roman"/>
          <w:sz w:val="18"/>
          <w:szCs w:val="18"/>
          <w:i w:val="1"/>
          <w:iCs w:val="1"/>
          <w:color w:val="auto"/>
        </w:rPr>
        <w:t>the Announcement on Prevention of Token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Fundraising Risks </w:t>
      </w:r>
      <w:r>
        <w:rPr>
          <w:rFonts w:ascii="Times New Roman" w:cs="Times New Roman" w:eastAsia="Times New Roman" w:hAnsi="Times New Roman"/>
          <w:sz w:val="18"/>
          <w:szCs w:val="18"/>
          <w:color w:val="auto"/>
        </w:rPr>
        <w:t>to strengthen the administration of the initial coin offerings activities. Pursuant to this announcement, “fundraising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token offerings” is referred to as a type of fundraising activities where an issuer raises “virtual currencies” such as Bitcoin or Ether from investors through the illegal issuance and subsequent circulation of tokens. Pursuant to the announcement, token fundraising activity is essentially an illegal public fundraising activity without obtaining government approval. It is a suspected illegal offering of tokens, illegal offering of securities, illegal fundraising, financial fraud, or pyramid scheme, which are criminal offenses under the PRC law. This announcement prohibits fundraising activities through token issuance. In addition, the announcement also provides that token trading platform should not be engaged in (i) the exchange between any statutory currency with tokens and “virtual currencies,” (ii) the trading, either as a central counter - party or not, of the tokens or “virtual currencies,” and (iii) token or “virtual currency” pricing, information intermediary services or other services for tokens or “virtual currencies.”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15, 2021, the People’s Bank of China, the Office of the Central Cyberspace Affairs Commission, the Supreme People’s Court, the Supreme People’s Procuratorate, the Ministry of Industry and Information Technology, the Ministry of Public Security, the State Administration for Market Regulation, the China Banking and Insurance Regulatory Commission, the China Securities Regulatory Commission and the State Administration of Foreign Exchange jointly promulgated </w:t>
      </w:r>
      <w:r>
        <w:rPr>
          <w:rFonts w:ascii="Times New Roman" w:cs="Times New Roman" w:eastAsia="Times New Roman" w:hAnsi="Times New Roman"/>
          <w:sz w:val="18"/>
          <w:szCs w:val="18"/>
          <w:i w:val="1"/>
          <w:iCs w:val="1"/>
          <w:color w:val="auto"/>
        </w:rPr>
        <w:t>the Circular on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Preventing and Disposing of Risks in Virtual Currency Trading and Speculation </w:t>
      </w:r>
      <w:r>
        <w:rPr>
          <w:rFonts w:ascii="Times New Roman" w:cs="Times New Roman" w:eastAsia="Times New Roman" w:hAnsi="Times New Roman"/>
          <w:sz w:val="18"/>
          <w:szCs w:val="18"/>
          <w:color w:val="auto"/>
        </w:rPr>
        <w:t>to further strengthen the administration of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trading. Pursuant to this circular, virtual currencies do not have the same legal status as legal currencies and it is strictly prohibited and banned that virtual currency-related business activities are illegal financial activities, including carrying out exchange services between legal currencies and virtual currencies or between virtual currencies, buying and selling virtual currencies as a central counter - party, providing information intermediary and pricing services for virtual currency transactions, token issuance financing, virtual currency derivative transactions and other virtual currency-related business activities are suspected of illegal sale of tokens, unauthorized public issuance of securities, illegal operation of futures business, illegal fundraising and other illegal financial activities. Pursuant to the Circular, if related illegal financial activities constitute a crime, criminal liability shall be investigated in accordance with the law.</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September 2, 2022, the Standing Committee of the National People’s Congress issued </w:t>
      </w:r>
      <w:r>
        <w:rPr>
          <w:rFonts w:ascii="Times New Roman" w:cs="Times New Roman" w:eastAsia="Times New Roman" w:hAnsi="Times New Roman"/>
          <w:sz w:val="18"/>
          <w:szCs w:val="18"/>
          <w:i w:val="1"/>
          <w:iCs w:val="1"/>
          <w:color w:val="auto"/>
        </w:rPr>
        <w:t>the Anti-Telecom and Online Fraud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pursuant to which entities or individuals shall not help others commit money laundering through virtual currency trading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out telecom and online fraud activities.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blockchain information services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10, 2019, the Cyberspace Administration of China issued </w:t>
      </w:r>
      <w:r>
        <w:rPr>
          <w:rFonts w:ascii="Times New Roman" w:cs="Times New Roman" w:eastAsia="Times New Roman" w:hAnsi="Times New Roman"/>
          <w:sz w:val="18"/>
          <w:szCs w:val="18"/>
          <w:i w:val="1"/>
          <w:iCs w:val="1"/>
          <w:color w:val="auto"/>
        </w:rPr>
        <w:t>the Provisions on the Administration of Blockchain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Services</w:t>
      </w:r>
      <w:r>
        <w:rPr>
          <w:rFonts w:ascii="Times New Roman" w:cs="Times New Roman" w:eastAsia="Times New Roman" w:hAnsi="Times New Roman"/>
          <w:sz w:val="18"/>
          <w:szCs w:val="18"/>
          <w:color w:val="auto"/>
        </w:rPr>
        <w:t>, which came into effect on February 15, 2019. Pursuant to these provisions, a blockchain information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is required to file particulars of such service provider including its name, service category, service form, application field, and server address with the blockchain information service filing management system managed by the Cyberspace Administration of China and go through filing procedures within ten business days after it starts to provide services. After completing the filing procedure, the blockchain information service provider should display the filing number in a conspicuous position on the service provider’s websites and applications through which it provides services. Service providers that had already started to provide blockchain information services before these provisions became effective are required to do make-up filings within 20 business days after these provisions became effective. As of the date of this annual report, we had obtained the initial record-filing number.</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these provisions also imposed an array of obligations to the providers of blockchain information services. For example, blockchain information service providers are required to set up various rules and procedures in terms of user registration, information verification, emergency response, and safeguard measures. Blockchain information service providers are also required to formulate and publish blockchain platform management rules and enter into a service agreement with users of blockchain information services. In addition, blockchain information service providers are obligated to verify the real name of the users of blockchain information services and are prohibited to offer services to users who fail to provide information relating to their real identity. Failure to comply with requirements in these provisions may subject blockchain information service providers to administrative penalties such as warning, being ordered to temporarily suspend relevant business operations to rectify within prescribed time period, or fines, or criminal liabilities, depending on which provisions are violated.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12, 2021, the National People’s Congress published Outline of the People’s Republic of China 14th Five-Year Plan for National Economic and Social Development and Long-Range Objectives for 2035, which states that PRC will accelerate the promotion of digital industrialization including blockchain and will promote the innovation of blockchain technology such as smart contracts, consensus algorithms, encryption algorithms, and distributed systems, focus on alliance chains to develop blockchain service platforms and application solutions in the fields of fintech, supply chain management, and government services, and improve supervision mechanisms.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27, 2021, the Ministry of Industry and Information Technology and the Cyberspace Administration of China jointly issued </w:t>
      </w:r>
      <w:r>
        <w:rPr>
          <w:rFonts w:ascii="Times New Roman" w:cs="Times New Roman" w:eastAsia="Times New Roman" w:hAnsi="Times New Roman"/>
          <w:sz w:val="18"/>
          <w:szCs w:val="18"/>
          <w:i w:val="1"/>
          <w:iCs w:val="1"/>
          <w:color w:val="auto"/>
        </w:rPr>
        <w:t>Guiding Opinions on Accelerating the Application of Blockchain Technology and the Development of the Industry</w:t>
      </w:r>
      <w:r>
        <w:rPr>
          <w:rFonts w:ascii="Times New Roman" w:cs="Times New Roman" w:eastAsia="Times New Roman" w:hAnsi="Times New Roman"/>
          <w:sz w:val="18"/>
          <w:szCs w:val="18"/>
          <w:color w:val="auto"/>
        </w:rPr>
        <w:t>, which states that the management of blockchain-related intellectual property rights shall be strengthened and risk control mechanisms and technical prevention measures shall be improved. For example, it encourages enterprises to explore and establish a common intellectual property rights protection mechanism through blockchain patent pools, intellectual property rights alliances and other modes. The opinions also emphasize the importance of accelerate the application of blockchain technology and the overall development of the industry.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13, 2022, the National Internet Finance Association of China, the China Banking Association and the Securities Association of China jointly issued </w:t>
      </w:r>
      <w:r>
        <w:rPr>
          <w:rFonts w:ascii="Times New Roman" w:cs="Times New Roman" w:eastAsia="Times New Roman" w:hAnsi="Times New Roman"/>
          <w:sz w:val="18"/>
          <w:szCs w:val="18"/>
          <w:i w:val="1"/>
          <w:iCs w:val="1"/>
          <w:color w:val="auto"/>
        </w:rPr>
        <w:t>the Proposals on Preventing NFT-related Financial Risks</w:t>
      </w:r>
      <w:r>
        <w:rPr>
          <w:rFonts w:ascii="Times New Roman" w:cs="Times New Roman" w:eastAsia="Times New Roman" w:hAnsi="Times New Roman"/>
          <w:sz w:val="18"/>
          <w:szCs w:val="18"/>
          <w:color w:val="auto"/>
        </w:rPr>
        <w:t>, which prominently includes a commitment by members of these three associations not to financialize or securitize NFTs, and to not provide trading services or related financial services for NFTs in any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 on anti-money laundering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31, 2006, the Standing Committee of the National People’s Congress issued the PRC Anti-Money Laundering Law, which was amended on November 8, 2024 and took effect from January 1, 2025. Pursuant to the PRC Anti-Money Laundering Law, specific non-financial institutions that are required by relevant regulations to perform the obligation of anti-money laundering shall, in accordance with law, among others adopt preventive and monitoring measures, establish and improve internal control systems for anti-money laundering, and fulfill anti-money laundering obligations such as customer due diligence, preservation of customer identity data and transaction records, reporting of large and suspicious transactions, and special preventive measures for anti-money laundering. The client ID data and transaction information, and investigation information of anti-money laundering acquired through performing the functions and duties of anti-money laundering according to law shall be kept confidential, and shall not be provided to any unit or individual unless otherwise prescribed by law. Any unit or individual that finds money laundering activities is entitled to report the same to the competent administrative authority of anti-money laundering or judicial organ, and the organs that accept the report shall keep confidential the reporter and the content reported.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Enterprises and other market entities shall submit information on beneficial owners through the relevant information system of the market supervision and regulation department.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12, 2016, General Office of the State Council issued a Circular of the General Office of the State Council on Issuing the Implementing Proposals for the Special Rectification of Internet Financial Risks, pursuant to which online peer-to-peer lending platforms or equity-based crowdfunding platforms shall not engage in asset management, claims or equity transfer, capital allocation in the high-risk securities market, or other financial business without approval. Internet enterprises that have not obtained the financial business qualifications may not carry out the corresponding business by relying on the internet, and the nature of the business they carry out shall comply with the business qualifications obtained. Without approval of the relevant departments, no financial products of different categories that are privately placed may be offered to the public by packaging, splitting, or otherwise.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Furthermore, the People’s Bank of China, China Banking and Insurance Regulatory Commission and China Securities Regulatory Commission jointly published </w:t>
      </w:r>
      <w:r>
        <w:rPr>
          <w:rFonts w:ascii="Times New Roman" w:cs="Times New Roman" w:eastAsia="Times New Roman" w:hAnsi="Times New Roman"/>
          <w:sz w:val="18"/>
          <w:szCs w:val="18"/>
          <w:i w:val="1"/>
          <w:iCs w:val="1"/>
          <w:color w:val="auto"/>
        </w:rPr>
        <w:t>the Administrative Measures for Anti-money Laundering and Counter-terrorism Financing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Finance Service Agencies (for Trial Implementation)</w:t>
      </w:r>
      <w:r>
        <w:rPr>
          <w:rFonts w:ascii="Times New Roman" w:cs="Times New Roman" w:eastAsia="Times New Roman" w:hAnsi="Times New Roman"/>
          <w:sz w:val="18"/>
          <w:szCs w:val="18"/>
          <w:color w:val="auto"/>
        </w:rPr>
        <w:t>, which became effective on January 1, 2019. Under these measures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scope of work on anti-money laundering and counter-terrorism financing in the internet finance industry shall be determined, adjusted and released by the People’s Bank of China in concert with financial regulators of the State Council in accordance with laws, regulations and regulatory rules, including the online payment, peer-to-peer lending, peer-to-peer lending information intermediary services, equity crowdfunding financing, internet fund sale, internet insurance, internet trust and internet consumption finance. The People’s Bank of China will develop an online monitoring platform for anti-money laundering and counter-terrorism financing in the internet finance industry (hereinafter referred to as the “online monitoring platform”), and this online monitoring platform will be used to improve the online regulatory mechanism for anti-money laundering and strengthen information sharing. Service agencies other than financial institutions and non-banking payment institutions shall register the fulfillment of duties in anti-money laundering and counter-terrorism financing on the online monitoring platform. Where a single cash receipt or payment, or the aggregate cash receipts and payments, of a client on a single day, amount(s) to RMB50,000 or more or the equivalent value of US$10,000 or more, a service agency that is neither a financial institution nor a non-banking payment institution shall report the large-amount transaction within five working days of the occurrence of the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and regulations in Singapore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below section sets forth a summary of the laws and regulations that most affect our business activities in Singapore. The laws and regulations relate to online streaming, payment processing, games, data protection, intellectual property rights, anti-money laundering and terrorism financing, dividend distribution, and employment and labor.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regulation on online live-streaming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Broadcasting 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Broadcasting Act 1994 of Singapore, or the Broadcasting Act, regulates the dealing in, the operation of and the ownership in broadcasting services and broadcasting apparatus, and online communication services, which are accessible to Singapore-end users, and for matters connected therewith.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this act, an online communication service refers to an electronic service which has the characteristics of a social media service. This electronic service means a service which (a) enables end-users to access or communicate content on the Internet using that service (including a point-to-multipoint service), or deliver content on the Internet to persons having the appropriate equipment to receive that content, (b) between a point in Singapore and one or more points in Singapore, or between a point or one or more points, where the first-mentioned point is outside Singapore and at least one of the other points is inside Singapore, and (c) is not an excluded electronic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we provide an online communication service that is not exempted under the Broadcasting Act, the Infocomm Media Development Authority, namely the regulator of the information, communications and media sectors in Singapore, the Infocomm Media Development Authority may designate our online communication service as a regulated online communication service pursuant to Section 45K of the Broadcasting Act. The Infocomm Media Development Authority may designate an online communication service as a regulated online communication service provider after taking into account the range of all online communication services provided to Singapore end users, and the extent and nature of the effect that the different types of online communication services have on the people of Singapore and her different communities. According to Section 45L and Section 45M of the Broadcasting Act, such regulated online communication service providers are mandated to comply with the online Code of Practice and the other regulations prescribed by the Infocomm Media Development Authority.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been designated by the Infocomm Media Development Authority as a regulated online communication service and are not subject to compliance with any online Codes of Practice that the Infocomm Media Development Authority may issue to providers of such regulated online communication service.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highlight that Part 10A of the Broadcasting Act on online communication service regulation does not apply to any of our content provided or communicated on the internet before the date of February 1, 2023, the commencement of Section 5 of the Online Safety (Miscellaneous Amendments) Act 2022. For our content provided or communicated on the internet after February 1, 2023, to which Part 10A of the Broadcasting Act applies, we note our ongoing obligation under Section 45A of the Broadcasting Act to ensure that we (a) provide a safe online environment for Singapore end-users that promotes responsible online behavior, (b) deter objectionable online activity and prevent access to harmful content, (c) place adequate priority on the protection of Singapore end-users who are children of different age groups from exposure to content which may be harmful to them, and (d) be regulated in a manner that enables public interest considerations to be addressed. In connection therewith, we have in place internal procedures to stop egregious content from being communicated or provided on our online communication service, in full compliance with the Broadcasting Act. Such internal procedures include publishing a set of community guidelines on our online communication service that outlines our expectations for user behavior, implementing a complaints resolution process to promptly remove any egregious content, and utilizing a third-party content filtering system to prevent any egregious content from being communicated or provided on our online communication service, however, there can be no assurance that such internal procedures would always be adequate. Any failure to comply is an offence under Section 45E of the Broadcasting Act and may result in administrative sanctions such as fines of up to SGD$1 million imposed by the Infocomm Media Development Authority. In the case of a continuing offence, further fines of up to SGD$100,000 for every day or part of a day during which the offence continues after conviction may be imposed by the Infocomm Media Development Authority.</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Broadcasting Act also prohibits the provision of certain broadcasting services, including internet content, in or from Singapore without a license issued by the Infocomm Media Development Authority. The Broadcasting Act sets out an automatic class licensing scheme for computer online services provided by internet content providers. Under the Broadcasting (Class Licence) Notification, an internet content provider, which includes a corporation which provides any program for business purposes on the internet, is automatically class-licensed without any need to make a specific application for licensing to the Infocomm Media Development Authority and are automatically subject to comply with the conditions of the class license set out under the Schedule of the Broadcasting (Class Licence) Notification and the Internet Code of Practice.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internet content provider, we are automatically class-licensed by the Infocomm Media Development Authority pursuant to the Broadcasting (Class License) Notification and are obliged to comply with the class license conditions and the Internet Code of Practice. Our compliance includes using our best efforts to ensure that prohibited material, namely, any material that is objectionable on the grounds of public interest, public morality, public security, national harmony, offends good taste or decency, or is otherwise prohibited by applicable Singaporean laws (including, explicitly, the propagation, promotion or discussion of any political or religious issues relating to Singapore), is not broadcast via the internet to Singaporean end-users. We are also required to deny access to any prohibited material if directed to do so by the Infocomm Media Development Authority. In this regard, we have in place internal procedures to ensure that prohibited materials are not broadcasted to Singapore-end users, in full compliance with the class license conditions and the Internet Code of Practice. Such internal procedures include publishing a set of community guidelines that outlines our expectations for user behavior, implementing a complaints resolution process to promptly remove any prohibited materials, and utilizing a third-party content filtering system to prevent any prohibited materials from being broadcasted to Singapore end-users, however, there can be no assurance that such internal procedures would always be adequate. If we contravene the class license conditions or the Internet Code of Practice, we may face administrative sanctions such as the suspension or cancellation of our automatic class license, or fines imposed by the Infocomm Media Development Authority.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regulation on online games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Gambling Control 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the Gambling Control Act 2022 of Singapore, or the Gambling Control Act, prohibits a person from conducting gaming unless the person is, pursuant to Section 18(b)(ii) of the Gambling Control Act, a class licensee authorized under a class license to provide a gambling service involving conducting gaming or gaming of that kind.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Infocomm Media Development Advisory on the Regulation of Remote Games of Chance under the Gambling Control Act, remote games of chance that provide transferable in-game items such as prizes, and where such prizes are not money and cannot be converted within the game into money, money equivalent or anything else of value unrelated to the game are regulated under a class license regime as a Type 2 class license. Under the class license regime, any person who wishes to offer an remote games of chance under the Type 2 class license does not need to apply for a license from the Gambling Regulatory Authority and can continue to develop and publish games so long as they comply with the respective set of conditions set out in the Gambling Control (Remote Games of Chance – Class License) Order 2022, or the Gaming Control Order.</w:t>
      </w:r>
    </w:p>
    <w:p>
      <w:pPr>
        <w:spacing w:after="0" w:line="189"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As our gaming activities are undertaken in relation only to remote games of chance that provide transferable in-game items such as prizes, and such prizes are not money and cannot be converted within the game into money, money equivalent or anything else of value unrelated to the game, we will be regulated by the Gambling Regulatory Authority under the class license regime as a Type 2 class licensee so long as we comply with the Type 2 class license conditions under Paragraph 7 of the Gambling Control Order. Our compliance efforts include, taking all reasonably practicable steps to ensure that we do not provide a service whereby (a) any prize that may be won in the interactive game of chance, (b) any feature of the interactive game of chance that may be unlocked (in a randomized or partially randomized fashion) during gameplay, or (c) any complimentary token awarded by or under the authority of the class licensee to any player for or to play, or to continue to play, the interactive game of chance, is readily converted or made readily converted into money or a money equivalent or into anything else of value except for use in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game microtransaction during that same interactive game of chance or another interactive game that is related to the abovementioned interactive game of chance. Accordingly, so long as we are compliant with Paragraph 7 of the Gambling Control Order, we are not required to apply for a license under the Gambling Control Act to undertake such gaming activities. In connection therewith, we have not applied for a license under the Gambling Control Act for our gaming activities.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we undertake gaming activities that constitute a service that contravenes the Gambling Control Order, and we do not fall within any of the other exceptions under the Gambling Control Act, we will apply for a license under the Gambling Control Act before we undertake such activities to ensure that we are in full compliance with the Gambling Control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the variable interest entities and our principal subsidiaries and principal subsidiaries of the variable interest entities, as of the date of this annual report on Form 20-F. In March 2026, Shenzhen Xunlei entered into definitive agreements to transfer an aggregate 50% equity interest in Shenzhen Onething for an aggregate cash consideration of RMB125 million. Upon completion of the transaction in March 2026, Shenzhen Xunlei retained 20% equity interest in Shenzhen Onething, and we no longer consolidate the financial results of Shenzhen Onething.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wp:posOffset>
            </wp:positionV>
            <wp:extent cx="5709285" cy="44494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9285" cy="444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167" w:lineRule="exact"/>
        <w:rPr>
          <w:sz w:val="20"/>
          <w:szCs w:val="20"/>
          <w:color w:val="auto"/>
        </w:rPr>
      </w:pPr>
    </w:p>
    <w:p>
      <w:pPr>
        <w:jc w:val="both"/>
        <w:ind w:left="340" w:hanging="332"/>
        <w:spacing w:after="0" w:line="281"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Shenzhen Xunlei is a variable interest entity. Mr. Sean Shenglong Zou, our co-founder, Mr. Hao Cheng, our co-founder, Mr. Jianming Shi, Guangzhou Shulian Information Investment Co., Ltd. and Ms. Fang Wang own 76.0%, 8.3%, 8.3%, 6.7% and 0.7% of Shenzhen Xunlei’s equity interests, respectively.</w:t>
      </w:r>
    </w:p>
    <w:p>
      <w:pPr>
        <w:spacing w:after="0" w:line="9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30% of the equity interest is owned by Mr. Hao Cheng.</w:t>
      </w:r>
    </w:p>
    <w:p>
      <w:pPr>
        <w:spacing w:after="0" w:line="16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20% of the equity interest is owned by Henan Cultural Tourism Investment Group Co., Ltd.</w:t>
      </w:r>
    </w:p>
    <w:p>
      <w:pPr>
        <w:spacing w:after="0" w:line="167"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Shenzhen Suqu is a variable interest entity. Shenzhen Zhiyi Wensi Consulting LLP(“Zhiyi Wensi”), and Shenzhen Zhilue Xinsi Consulting Co., Ltd.(“Zhilue Xinsi”) own 99% and 1% of Shenzhen Suqu’s equity interests, respectively. Zhiyi Wensi is a PRC limited liability partnership with (i) Zhilue Xinsi, as its general partner, holding a 5% partnership interest, and (ii) Mr. Kening Wu, as its limited partner, holding the remaining 95% partnership interest. Zhilue Xinsi is a PRC limited liability company whose registered shareholders are Mr. Kening Wu, our vice president, and Mr. Xiaosong Li, our director and vice president, holding 60% and 40% of the equity interests, respectively.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Variable Interest Entities and their Respective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contractual agreements with Shenzhen Xunlei and Shenzhen Suqu.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agreements with Shenzhen Xunlei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that enable us to direct the activities most significantly affect Shenzhen Xunlei’s economic performance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operation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business operation agreement among Giganology Shenzhen, Shenzhen Xunlei and the shareholders of Shenzhen Xunlei, as amended, Shenzhen Xunlei’s shareholders must appoint the candidates nominated by Giganology Shenzhen to be the directors on its board of directors in accordance with applicable laws and the articles of association of Shenzhen Xunlei, and must cause the persons recommended by Giganology Shenzhen to be appointed as its general manager, chief financial officer and other senior executives. Shenzhen Xunlei and its shareholders also agree to accept and strictly follow the guidance provided by Giganology Shenzhen from time to time relating to employment, termination of employment, daily operations and financial management. Moreover, Shenzhen Xunlei and its shareholders agree that Shenzhen Xunlei will not engage in any transactions that could materially affect its assets, business, personnel, liabilities, rights or operations, including, but not limited to, the amendment of Shenzhen Xunlei’s articles of association, without the prior consent of Giganology Shenzhen and Xunlei Limited or their respective designees. This agreement will expire in 2026 and will be extended automatically for additional ten years unless terminated with Giganology Shenzhen’s written confirmation prior to the expiration date.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equity pledge agreement between Giganology Shenzhen and the shareholders of Shenzhen Xunlei, as amended, the shareholders of Shenzhen Xunlei have pledged all of their equity interests in Shenzhen Xunlei to Giganology Shenzhen to guarantee Shenzhen Xunlei and its shareholders’ performance of their respective obligations and any ensuing liabilities under the exclusive technology support and service agreement, as amended, the exclusive technology consulting and training agreement, as amended, the proprietary technology license agreement, the business operation agreement, as amended, the equity interests disposal agreement, as amended, the loan agreements, as amended, and the intellectual properties purchase option agreement, as amended. In addition, the shareholders of Shenzhen Xunlei have completed the registration of equity pledge under the equity pledge agreement with the competent governmental authority. If Shenzhen Xunlei and/or its shareholders breach their contractual obligations under those agreements, Giganology Shenzhen, as pledgee, will be entitled to certain rights, including the right to sell the pledged equity interests.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 of attorney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irrevocable powers of attorney executed by each shareholder of Shenzhen Xunlei, each such shareholder appointed Giganology Shenzhen as its attorney-in-fact to exercise such shareholders’ rights in Shenzhen Xunlei, including, without limitation, the power to vote on its behalf on all matters of Shenzhen Xunlei requiring shareholder approval in accordance with PRC laws and regulations and the articles of association of Shenzhen Xunlei. Each power of attorney will remain in force for ten years from the date of execution unless the business operation agreement, as amended, among Giganology Shenzhen, Shenzhen Xunlei and the shareholders of Shenzhen Xunlei is terminated at an earlier date. The term may be extended at Giganology Shenzhen’s discretion.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that transfer economic benefits to 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technology support and services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exclusive technology support and services agreement between Giganology Shenzhen and Shenzhen Xunlei, as amended, Giganology Shenzhen has the exclusive right to provide to Shenzhen Xunlei technology support and technology services related to all technologies needed for its business. Giganology Shenzhen exclusively owns any intellectual property rights resulting from the performance of this agreement. The service fee payable by Shenzhen Xunlei to Giganology Shenzhen is a certain percentage of its earnings. The supplemental agreement will expire in September 2035 and will be automatically renewed for a further period of ten years thereafter. Giganology Shenzhen is entitled to terminate the agreement at any time by providing 30 days’ prior written notice to Shenzhen Xunlei.</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technology consulting and training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exclusive technology consulting and training agreement between Giganology Shenzhen and Shenzhen Xunlei, as amended, Giganology Shenzhen has the exclusive right to provide to Shenzhen Xunlei technology consulting and training services related to its business. Giganology Shenzhen exclusively owns any intellectual property rights resulting from the performance of this agreement. The service fee payable by Shenzhen Xunlei to Giganology Shenzhen is a certain percentage of its earnings. The supplemental agreement will expire in September 2035 and will be automatically renewed for a further period of ten years thereafter. Giganology Shenzhen is entitled to terminate the agreement at any time by providing 30 days’ prior written notice to Shenzhen Xunlei.</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Proprietary technology license contract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proprietary technology license contract between Giganology Shenzhen and Shenzhen Xunlei, Giganology Shenzhen grants Shenzhen Xunlei a non-exclusive and non-transferable right to use Giganology Shenzhen’s proprietary technology. Shenzhen Xunlei can only use the proprietary technology to conduct its business within China. Giganology Shenzhen or its designated representative(s) owns the rights to any improvements developed based on the proprietary technology licensed pursuant to this contract. This agreement expired in March 2022 and was extended for an additional ten years by Giganology Shenzhen and Shenzhen Xunlei on March 1, 2022.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Intellectual properties purchase option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intellectual properties purchase option agreement between Giganology Shenzhen and Shenzhen Xunlei, as amended, Shenzhen Xunlei irrevocably grants Giganology Shenzhen (or its designated representative(s)) an exclusive option to purchase certain specified intellectual properties that it owns for RMB1.0 or the minimum amount of consideration permitted under the PRC law. This agreement expired in March 2022 and was automatically extended for an additional ten years, and will be extended automatically for an additional ten years at each expiration date as long as these intellectual properties have not been transferred to Giganology Shenzhen and/or its designee and Shenzhen Xunlei then still exist.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that provide us the option to purchase the equity interest in Shenzhen Xunlei</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interests disposal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equity interests disposal agreement among Giganology Shenzhen, Shenzhen Xunlei and the shareholders of Shenzhen Xunlei, as amended, Shenzhen Xunlei’s shareholders irrevocably grant Giganology Shenzhen (or its designated representative(s)) an exclusive option to purchase all or part of their equity interests in Shenzhen Xunlei for RMB1.0 or the minimum amount of consideration permitted under PRC law. This agreement will expire in 2026 and will be extended automatically for additional ten years unless terminated with Giganology Shenzhen’s written confirmation prior to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Loan agreements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loan agreement between Giganology Shenzhen and Guangzhou Shulian Information Investment Co., Ltd., Sean Shenglong Zou, Hao Cheng, Fang Wang and Jianming Shi, as amended, Giganology Shenzhen made interest-free loans of approximately RMB1.8 million, RMB2.5 million, RMB2.3 million, RMB0.2 million and RMB2.3 million, respectively, to each of the above shareholders of Shenzhen Xunlei and all of these shareholders have used the full amount of loans to make capital contribution to Shenzhen Xunlei. The term of this agreement is two years from the date it was signed, and will be automatically extended afterwards on a yearly basis until each shareholder of Shenzhen Xunlei has repaid the loan in its entirety in accordance with the loan agreement. The loan for each shareholder will be deemed to be repaid under this agreement only when all equity interest held by the relevant shareholder in Shenzhen Xunlei has been transferred to Giganology Shenzhen or its designated parties. As of the date of this annual report, all the loans under the loan agreements remain outstanding. At any time during the term of the loan agreement, Giganology Shenzhen may, at its sole discretion, require any of the shareholders of Shenzhen Xunlei to repay all or any portion of his outstanding loan under the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following the loan agreement mentioned above, under a separate loan agreement between Giganology Shenzhen and Mr. Sean Shenglong Zou as a shareholder of Shenzhen Xunlei, as amended, Giganology Shenzhen made an additional interest-free loan of RMB20 million to Mr. Zou, the entire amount of which was used to contribute to the registered capital of Shenzhen Xunlei, increasing the registered capital of Shenzhen Xunlei to RMB30 million. The term of this agreement is two years from the date it was signed, and will be automatically extended afterwards on a yearly basis until Mr. Zou has repaid the loan in its entirety in accordance with the loan agreement. This loan will be deemed to be repaid under this agreement only when all equity interest held by the relevant shareholder in Shenzhen Xunlei has been transferred to Giganology Shenzhen or its designated parties. At any time during the term of the loan agreement, Giganology Shenzhen may, at its sole discretion, require all or any portion of the outstanding loan under the agreement to be repaid.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agreements with Shenzhen Suqu</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contractual arrangement applicable to Shenzhen Suqu, Shenzhen Suqu is held directly by one PRC limited liability company, namely, Shenzhen Zhilue Xinsi Consulting Co., Ltd. (“Zhilue Xinsi”) and one PRC limited liability partnership, namely, Shenzhen Zhiyi Wensi Consulting LLP (“Zhiyi Wensi”), among which, Zhiyi Wensi holds 99% of the equity interest in Shenzhen Suqu, and Zhilue Xinsi holds the remaining 1%. All equity interests in Shenzhen Suqu have been pledged to our WFOE, Xunlei Computer.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Zhiyi Wensi is a PRC limited liability partnership with (i) Zhilue Xinsi, as its general partner, holding a 5% partnership interest, and (ii) Mr. Kening Wu, as its limited partner, holding the remaining 95% partnership interest.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Zhilue Xinsi is a PRC limited liability company whose registered shareholders are Mr. Kening Wu and Mr. Xiaosong Li, holding 60% and 40% of the equity interests, respectively. Mr. Kening Wu is our vice president, and Mr. Xiaosong Li is our director and vice president.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such contractual arrangement, Xunlei Computer, on the one hand, and Shenzhen Suqu and the multiple layers of legal entities above Shenzhen Suqu, namely, Zhiyi Wensi and Zhilue Xinsi, as well as Mr. Kening Wu ang Mr. Xiaosong Li, on the other hand, have entered into the following contractual arrangements: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Loan agreements</w:t>
      </w:r>
    </w:p>
    <w:p>
      <w:pPr>
        <w:spacing w:after="0" w:line="227" w:lineRule="exact"/>
        <w:rPr>
          <w:sz w:val="20"/>
          <w:szCs w:val="20"/>
          <w:color w:val="auto"/>
        </w:rPr>
      </w:pPr>
    </w:p>
    <w:p>
      <w:pPr>
        <w:jc w:val="both"/>
        <w:ind w:right="20" w:firstLine="648"/>
        <w:spacing w:after="0" w:line="220" w:lineRule="exact"/>
        <w:rPr>
          <w:sz w:val="20"/>
          <w:szCs w:val="20"/>
          <w:color w:val="auto"/>
        </w:rPr>
      </w:pPr>
      <w:r>
        <w:rPr>
          <w:rFonts w:ascii="Times New Roman" w:cs="Times New Roman" w:eastAsia="Times New Roman" w:hAnsi="Times New Roman"/>
          <w:sz w:val="18"/>
          <w:szCs w:val="18"/>
          <w:color w:val="auto"/>
        </w:rPr>
        <w:t>Pursuant to the loan agreements entered into between Xunlei Computer, on the one hand, and each of Zhiyi Wensi, Zhilue Xinsi, Mr. Kening Wu and Mr. Xiaosong Li, on the other hand, Xunlei Computer provided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loans to each of them. Each borrower has applied the full amount of the relevant loan solely toward its capital contributions to Shenzhen Suqu, Zhiyi Wensi and Zhilue Xinsi, as applicable, in its capacity as a shareholder or partner.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The term of each loan is ten years from its effective date and will be automatically extended for additional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periods unless Xunlei Computer requires early repayment. The loans may only be repaid in the manner designated by Xunlei Computer, including, to the extent permitted under PRC laws, by transferring all equity interests or partnership interests held by the borrower in Shenzhen Suqu, Zhiyi Wensi or Zhilue Xinsi to Xunlei Computer or its designated person.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annual report, all loans under these agreements remain outstanding.</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option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exclusive option agreements entered into between Xunlei Computer, on the one hand, and Zhiyi Wensi, Zhilue Xinsi, Mr. Kening Wu and Mr. Xiaosong Li, on the other hand, Zhiyi Wensi, Zhilue Xinsi, Mr. Kening Wu and Mr. Xiaosong Li have irrevocably granted Xunlei Computer an exclusive option to purchase, to the extent permitted under PRC laws and regulations, all or part of their respective equity interests or partnership interests in Shenzhen Suqu, Zhiyi Wensi and Zhilue Xinsi, as applicable.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Xunlei Computer may exercise such option at any time at its sole discretion. The purchase price shall be RMB1.0 or the minimum price permitted under applicable PRC laws and regulations. Upon exercise of the option, each grantor is required to facilitate the transfer of the relevant equity interests or partnership interests, as applicable, including by entering into the equity or partnership interest transfer agreements in the agreed form and completing all necessary approval, filing and registration procedures.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exclusive option agreements shall remain effective until all equity interests or partnership interests in Shenzhen Suqu, Zhiyi Wensi and Zhilue Xinsi have been transferred to Xunlei Computer or its designated person(s), unless earlier terminated by Xunlei Computer at its sole discretion.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business cooperation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exclusive business cooperation agreements entered into between Xunlei Computer, on the one hand, and each of Shenzhen Suqu, Zhiyi Wensi and Zhilue Xinsi, on the other hand, each of Shenzhen Suqu, Zhiyi Wensi and Zhilue Xinsi has appointed Xunlei Computer as its sole and exclusive service provider to provide comprehensive technical support, business consulting and other related services. Each of Shenzhen Suqu, Zhiyi Wensi and Zhilue Xinsi has also agreed not to procure the same or similar services from any third party without Xunlei Computer’s prior written consent.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for such services, each of Shenzhen Suqu, Zhiyi Wensi and Zhilue Xinsi agrees to pay service fees on a quarterly basis in an amount determined by Xunlei Computer, which shall be not less than 90% of its quarterly net revenues after deducting recognized costs and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exclusive business cooperation agreements further grant Xunlei Computer an exclusive right, to the extent permitted under PRC laws and regulations, to purchase all or part of the assets of Shenzhen Suqu, Zhiyi Wensi and Zhilue Xinsi at the lowest price permitted under applicable PRC laws. These agreements became effective upon execution and will remain effective indefinitely, unless terminated with Xunlei Computer’s prior written confirmation.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 of attorney</w:t>
      </w:r>
    </w:p>
    <w:p>
      <w:pPr>
        <w:spacing w:after="0" w:line="22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Pursuant to the irrevocable powers of attorney executed by Zhiyi Wensi, Zhilue Xinsi, Mr. Kening Wu and Mr. Xiaosong Li, each of Zhiyi Wensi, Zhilue Xinsi, Mr. Kening Wu and Mr. Xiaosong Li has irrevocably authorized Xunlei Computer (or its designated representative(s)) to act as its exclusive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to exercise, to the extent permitted under applicable PRC laws, all shareholder rights, partner rights or other rights, as applicable, that it is entitled to with respect to Shenzhen Suqu, Zhiyi Wensi or Zhilue Xinsi.</w:t>
      </w:r>
    </w:p>
    <w:p>
      <w:pPr>
        <w:spacing w:after="0" w:line="200"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Such authorized rights include, among others, attending shareholders’ or partners’ meetings, exercising all voting or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rights, selling, transferring, pledging or otherwise disposing of all or part of the relevant equity interests or partnership interests, and appointing or replacing the legal representative, directors, supervisors, senior management or other authorized representatives of Shenzhen Suqu, Zhiyi Wensi or Zhilue Xinsi, as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power of attorney is irrevocable and shall remain effective for so long as the relevant authorizing party directly or indirectly holds or controls any equity interests or partnership interests in Shenzhen Suqu, Zhiyi Wensi or Zhilue Xinsi, unless earlier terminated by Xunlei Computer at its sole discretion.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pledge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equity pledge agreements, the shareholders or partners of Shenzhen Suqu, Zhiyi Wensi and Zhilue Xinsi, including Mr. Kening Wu and Mr. Xiaosong Li, have pledged all of their respective equity or partnership interests in these entities to Xunlei Computer.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pledges secure performance of the relevant parties’ obligations under the exclusive business cooperation agreement, exclusive option agreement, loan agreements and powers of attorney. The equity pledges of Shenzhen Suqu and Zhilue Xinsi have been duly registered with the competent PRC governmental authorities, while the pledge of investment contributions in Zhiyi Wensi has not been registered due to the absence of applicable local registration guidelines.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breach of the secured obligations, Xunlei Computer is entitled, as pledgee, to enforce the pledges, including by disposing of the pledged interests.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 of Kewei Law Firm, our PRC legal counsel:</w:t>
      </w:r>
    </w:p>
    <w:p>
      <w:pPr>
        <w:spacing w:after="0" w:line="225" w:lineRule="exact"/>
        <w:rPr>
          <w:sz w:val="20"/>
          <w:szCs w:val="20"/>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variable interest entities and our subsidiaries in China comply all applicable PRC laws and regulations currently in effect;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(i) Giganology Shenzhen, our PRC subsidiary, Shenzhen Xunlei and its shareholders and (ii) Xunlei Computer, our PRC subsidiary, Shenzhen Suqu, Zhilue Xinsi, Zhiyi Wensi and their respective shareholders or partners governed by PRC law are valid, binding and enforceable in accordance with the contractual arrangements’ terms, and will not result in any violation of PRC laws or regulations currently in effect.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advised by Kewei Law Firm, our PRC legal counsel, however, that there are substantial uncertainties regarding the interpretation and application of current and future PRC laws, regulations and rules. Accordingly, the PRC regulatory authorities may take a view that is contrary to the above opinion of our PRC legal counsel. We have been further advised by our PRC legal counsel that if the PRC government finds that the agreements that establish the structure for operating our business to provide digital media data transmission and streaming services, online games and other value-added telecommunication services do not comply with PRC government restrictions on foreign investment in the aforesaid business we engage in, we could be subject to severe penalties including being prohibited from continuing operations. See “Item 3. Key Information—D. Risk Factors—Risks Related to Our Corporate Structure —If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w:t>
      </w:r>
    </w:p>
    <w:p>
      <w:pPr>
        <w:spacing w:after="0" w:line="188" w:lineRule="exact"/>
        <w:rPr>
          <w:sz w:val="20"/>
          <w:szCs w:val="20"/>
          <w:color w:val="auto"/>
        </w:rPr>
      </w:pPr>
    </w:p>
    <w:p>
      <w:pPr>
        <w:ind w:left="680" w:hanging="672"/>
        <w:spacing w:after="0"/>
        <w:tabs>
          <w:tab w:leader="none" w:pos="6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3709 Baishi Road, Nanshan District, Shenzhen, 518000, the People’s Republic of China, which comprises approximately 65,000 square meters of construction space. Other than our proprietary offices in Shenzhen, we also lease offices in several cities including Shenzhen, Beijing, Shanghai, Guangzhou and Wuhan. All offices have a total floor area of approximately 15,538 square meters. We completed the construction of our headquarters building and relocated our principal executive offices to the new headquarters building at the address mentioned above in December 2022, and obtained the ownership certificate of the new headquarters building in March 2024. Our leased premises are leased from unrelated third parties who have valid title to the relevant properties. Our leases typically have terms of one to three years. Our servers are primarily hosted at internet data centers owned by major domestic internet data center providers. The hosting services agreements typically have one-year terms and are renewed upon expiration. We believe that we will be able to obtain adequate facilities to accommodate our future expansion plans.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 Key Information—D. Risk Factors” in this annual report on Form 20-F. We caution you that our businesses and financial performance are subject to substantial risks and uncertainties.</w:t>
      </w:r>
    </w:p>
    <w:p>
      <w:pPr>
        <w:spacing w:after="0" w:line="179" w:lineRule="exact"/>
        <w:rPr>
          <w:sz w:val="20"/>
          <w:szCs w:val="20"/>
          <w:color w:val="auto"/>
        </w:rPr>
      </w:pPr>
    </w:p>
    <w:p>
      <w:pPr>
        <w:ind w:right="7840" w:firstLine="8"/>
        <w:spacing w:after="0" w:line="503" w:lineRule="auto"/>
        <w:tabs>
          <w:tab w:leader="none" w:pos="67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a powerful internet platform in China based on cloud technology to enable our users to quickly access, store, manage and consume digital media content on the internet. We have expanded our products and services from PC-based devices to mobile devices in part through pre-installed acceleration plug-ins on mobile phones to further enlarge our user base and offer our users a wider range of access points. In addition, we provide a portfolio of synergistic products and services across cloud acceleration, blockchain and digital entertainment to enrich the lives of our internet users.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users with quick and easy access to digital media content on the internet through our core product and services, available to users for free and for a subscription fee, respectively. Our acceleration product and services include Xunlei Accelerator and our subscription services delivered through our products. Benefiting from the large user base accumulated by our core product, Xunlei Accelerator, we have further provided and developed various other internet value-added services to meet a fuller spectrum of our users’ digital media content access and consumption needs.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revenues primarily through the following services:</w:t>
      </w:r>
    </w:p>
    <w:p>
      <w:pPr>
        <w:spacing w:after="0" w:line="223" w:lineRule="exact"/>
        <w:rPr>
          <w:sz w:val="20"/>
          <w:szCs w:val="20"/>
          <w:color w:val="auto"/>
        </w:rPr>
      </w:pPr>
    </w:p>
    <w:p>
      <w:pPr>
        <w:jc w:val="both"/>
        <w:ind w:left="1000" w:hanging="317"/>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services</w:t>
      </w:r>
      <w:r>
        <w:rPr>
          <w:rFonts w:ascii="Times New Roman" w:cs="Times New Roman" w:eastAsia="Times New Roman" w:hAnsi="Times New Roman"/>
          <w:sz w:val="18"/>
          <w:szCs w:val="18"/>
          <w:color w:val="auto"/>
        </w:rPr>
        <w:t>. We provide subscription services for subscribers to enable faster and more reliable access to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content. Revenues from subscription services contributed 33.5% of our revenue in 2025. Subscription fees are duration-based and are primarily collected up-front from subscribers on a monthly, quarterly or annual basis.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Live-streaming and other services</w:t>
      </w:r>
      <w:r>
        <w:rPr>
          <w:rFonts w:ascii="Times New Roman" w:cs="Times New Roman" w:eastAsia="Times New Roman" w:hAnsi="Times New Roman"/>
          <w:sz w:val="18"/>
          <w:szCs w:val="18"/>
          <w:color w:val="auto"/>
        </w:rPr>
        <w:t>. We historically offer various live-streaming products, including video live-streaming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audio live-streaming domestically and internationally. We have ceased providing both audio and video live-streaming services in China, while we continue to provide audio live-streaming services in overseas markets. Other services primarily include other value-added services such as Xunlei online advertising, Hupu advertising services, online games, technical services, and rental service. Revenues from live-streaming and other services accounted for 36.8% of our total revenue in 2025.</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computing services and products. </w:t>
      </w:r>
      <w:r>
        <w:rPr>
          <w:rFonts w:ascii="Times New Roman" w:cs="Times New Roman" w:eastAsia="Times New Roman" w:hAnsi="Times New Roman"/>
          <w:sz w:val="18"/>
          <w:szCs w:val="18"/>
          <w:color w:val="auto"/>
        </w:rPr>
        <w:t>We also provide cloud computing services to our customers, such as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providers, through our cost-efficient CDN services by crowdsourcing idle bandwidth from our users. In addition to the sales of our cloud computing services, we sold hardware devices. Revenues from cloud computing services and products contributed 29.7% of our revenue in 2025.</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decreased from US$364.9 million in 2023 to US$324.4 million in 2024, but then increased to US$462.4 million in 2025. We had a net income attributable to Xunlei Limited of US$14.2 million in 2023, US$1.2 million in 2024 and US$1,048.3 million in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and operating results are subject to general factors affecting the internet industry in China, including overall economic growth, which has resulted in increases in disposable income and consumer spending, government and industry initiatives accelerating the technological advancement and growth of internet industry, the growth of internet usage and penetration rate in China, strong preference of Chinese consumers for accessing digital media content through the internet, the greater availability of digital media content on the internet, the increasing acceptance of online advertising as part of advertisers’ overall marketing strategy and spending, as well as the rules and regulations of the Chinese government. Our results of operations will continue to be affected by such general factors.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are also directly affected by a number of company-specific factors, including: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enhance and innovate our service offerings, including our mobile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our industry evolves rapidly and user preference for our services may change quickly, our revenues and results of operations significantly depend on our ability to continue enhancing and expanding our service offerings to meet evolving user preference and market demand, and to broaden our user base. We have a proven track record of developing our service offerings to successfully address the preferences of China’s internet users. To address deficiencies of digital media content transmission over the internet in China, we provide users with quick and easy access to digital media content on the internet through our core product and services, Xunlei Accelerator and our subscription services, available to users for free and for a subscription fee, respectively. Furthermore, we focus more on user behaviors and study users’ life cycles on our platforms, so that we can offer relevant services at the right time and encourage users to continue using our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further monetize our user base.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revenues and results of operations depend on our ability to further monetize our user base, to convert more users to subscribers and to increase the spending of our subscribers. With enhanced knowledge of user behavior and preferences, we offer a diverse range of premium services tailored to their individual needs. For example, our subscription services offer users value-added services for speed. We intend to further monetize our user base and aim to convert users to subscribers by expanding our offering of value-added services, such as cloud-based storage mobile and TV access. We plan to provide one-stop services for our users, in terms of accessing content and storage and synchronization of content across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our technology leadership and cost-efficient infrastructure.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on our ability to maintain our technology leadership, with innovations such as our mobile technology and our cloud acceleration technology. Our mobile technology allows users to access content from anywhere, and our cloud acceleration technology enables users to access content in an efficient manner. Our proprietary technology and highly scalable massive distributed computing network form our core competitive advantage, enabling us to deliver superior transmission acceleration services and enhanced user experience anywhere and with an efficient sort of acceleration. As part of our expansion strategy, we plan to devote substantial resources to research and development in order to better serve our users, particularly to our mobile products and services. Therefore, the expenses associated with our research and development are expected to increase in the near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our costs and operating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on our ability to control our costs and operating expenses. We actively monitor and optimize our cost structure. Our costs and operating expenses are expected to increase in the future, for example, we expect an increase in marketing expense in a competitive environment and an increase in employee compensation to attract talents. We plan to continue to invest in research and development to maintain our technology leadership.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statement of operations items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2023, 2024 and 2025, we derived our revenues primarily from subscription services, live-streaming and other services, and cloud computing services and products. Our live-streaming and other services consist primarily of live-streaming services, other value-added services, which mainly comprise online advertising services, online games and related distribution services, technical services, and rental service. The following table sets forth the amounts and percentages of our total revenues by nature for the years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gridSpan w:val="3"/>
          </w:tcPr>
          <w:p>
            <w:pPr>
              <w:jc w:val="center"/>
              <w:ind w:lef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40" w:type="dxa"/>
            <w:vAlign w:val="bottom"/>
            <w:gridSpan w:val="2"/>
          </w:tcPr>
          <w:p>
            <w:pPr>
              <w:jc w:val="right"/>
              <w:ind w:right="119"/>
              <w:spacing w:after="0" w:line="142" w:lineRule="exact"/>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US$</w:t>
            </w:r>
          </w:p>
        </w:tc>
        <w:tc>
          <w:tcPr>
            <w:tcW w:w="2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tcPr>
          <w:p>
            <w:pPr>
              <w:jc w:val="center"/>
              <w:ind w:right="7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119,343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4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Live-streaming and other services</w:t>
            </w:r>
            <w:r>
              <w:rPr>
                <w:rFonts w:ascii="Times New Roman" w:cs="Times New Roman" w:eastAsia="Times New Roman" w:hAnsi="Times New Roman"/>
                <w:sz w:val="25"/>
                <w:szCs w:val="25"/>
                <w:color w:val="auto"/>
                <w:vertAlign w:val="superscript"/>
              </w:rPr>
              <w:t>(1)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170,158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computing services and products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364,911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324,405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462,410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w:t>
      </w:r>
    </w:p>
    <w:p>
      <w:pPr>
        <w:spacing w:after="0" w:line="235" w:lineRule="exact"/>
        <w:rPr>
          <w:sz w:val="20"/>
          <w:szCs w:val="20"/>
          <w:color w:val="auto"/>
        </w:rPr>
      </w:pPr>
    </w:p>
    <w:p>
      <w:pPr>
        <w:ind w:left="340" w:right="20" w:hanging="332"/>
        <w:spacing w:after="0" w:line="298"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reported as “live-streaming and other internet value-added services.” This represents revenues from various live-streaming products and other value-added services, such as online advertising, online games and technical services, and rental service.</w:t>
      </w:r>
    </w:p>
    <w:p>
      <w:pPr>
        <w:spacing w:after="0" w:line="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We generate revenues from providing our users with exclusive services, such as access to high-speed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premium acceleration or access privileges, for a duration-based subscription fee. We offer two premium subscription packages at different price levels to cater to subscribers’ different demand for acceleration speed, cloud drive storage and user experience, which are becoming increasingly popular among our subscribers. Revenue from our subscription services increased from US$119.3 million in 2023 to US$133.7 million in 2024 and further increased to US$154.8 million in 2025. Our subscription revenue as a percentage of our total revenues increased from 32.7% in 2023 to 41.2% in 2024 and decreased to 33.5% in 2025.</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most significant factor that directly affects our subscription revenues is the number of subscribers. We may maintain our subscriber base in the future by expanding our offering of fee-based services, but important factors outside of our control, such as the PRC government’s regulation and censorship of information disseminated over the internet, may have a material adverse impact on our cloud acceleration services, which in turn may have an adverse effect on the number of our subscribers and on our revenues and results of operations. See “Item 3. Key Information—D. Risk Factors—Risks Related to Doing Business in China—Regulation and censorship of information disseminated over the internet in China have adversely affected our business and may continue to adversely affect our business, and we may be liable for the digital media content on our platform.”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Live-streaming and other services</w:t>
      </w:r>
      <w:r>
        <w:rPr>
          <w:rFonts w:ascii="Times New Roman" w:cs="Times New Roman" w:eastAsia="Times New Roman" w:hAnsi="Times New Roman"/>
          <w:sz w:val="18"/>
          <w:szCs w:val="18"/>
          <w:color w:val="auto"/>
        </w:rPr>
        <w:t>. Revenues from live-streaming and other services decreased from US$122.2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US$86.1 million in 2024 and increased to US$170.2 million in 2025. Revenues from live-streaming and other services accounted for 33.5%, 26.6% and 36.8% of our total revenues in 2023, 2024 and 2025, respectively. We ceased the operations of our domestic audio live-streaming business in June 2023 and video live-streaming business in October 2024, and continue to offer audio live-streaming services in overseas markets.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from live-streaming and other services were generated primarily from our overseas audio live-streaming services, other value-added services such as Xunlei online advertising services, Hupu advertising services, online games and related distribution services, technical services, and rental service. For audio live-streaming services, users purchase virtual gifts from us and send the gifts they purchase to broadcasters while enjoying broadcasters’ performance. Our online advertising revenues are mainly derived from the advertising revenue sharing agreement we entered into with Itui, our largest shareholder. Hupu advertising services primarily include brand advertising and performance advertising, and Hupu contributed 4.4% of our total revenues from May 2025 to December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Cloud computing services and products</w:t>
      </w:r>
      <w:r>
        <w:rPr>
          <w:rFonts w:ascii="Times New Roman" w:cs="Times New Roman" w:eastAsia="Times New Roman" w:hAnsi="Times New Roman"/>
          <w:sz w:val="18"/>
          <w:szCs w:val="18"/>
          <w:color w:val="auto"/>
        </w:rPr>
        <w:t>. Revenues from cloud computing services and products decreased from US$123.4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to US$104.6 million in 2024 and increased to US$137.4 million in 2025. For cloud computing services, we recognize revenue when we provide bandwidth to our customers. Revenue from cloud computing services and products accounted for 33.8%, 32.2% and 29.7% of our total revenues in 2023, 2024 and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(i) bandwidth costs, (ii) revenue-sharing costs, (iii) payment handling charges and (iv) other costs including depreciation and amortization, impairment on intangible assets, cost of inventories sold, among others. The following table sets forth the components of our cost of revenues by amounts and percentages of our revenues for the years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ind w:left="5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8"/>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r>
      <w:tr>
        <w:trPr>
          <w:trHeight w:val="142"/>
        </w:trPr>
        <w:tc>
          <w:tcPr>
            <w:tcW w:w="5320" w:type="dxa"/>
            <w:vAlign w:val="bottom"/>
          </w:tcPr>
          <w:p>
            <w:pPr>
              <w:ind w:left="5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28"/>
        </w:trPr>
        <w:tc>
          <w:tcPr>
            <w:tcW w:w="5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gridSpan w:val="8"/>
          </w:tcPr>
          <w:p>
            <w:pPr>
              <w:jc w:val="right"/>
              <w:ind w:right="2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16"/>
        </w:trPr>
        <w:tc>
          <w:tcPr>
            <w:tcW w:w="5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112,522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Revenue-sharing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handling charges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5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200,649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155,567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r>
      <w:tr>
        <w:trPr>
          <w:trHeight w:val="20"/>
        </w:trPr>
        <w:tc>
          <w:tcPr>
            <w:tcW w:w="5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Bandwidth costs</w:t>
      </w:r>
      <w:r>
        <w:rPr>
          <w:rFonts w:ascii="Times New Roman" w:cs="Times New Roman" w:eastAsia="Times New Roman" w:hAnsi="Times New Roman"/>
          <w:sz w:val="18"/>
          <w:szCs w:val="18"/>
          <w:color w:val="auto"/>
        </w:rPr>
        <w:t>. Bandwidth costs consist of the fees we pay to telecommunications carriers and other service providers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services and for hosting our servers at their internet data centers and the fees we compensate users of our cloud computing hardware devices for the use of their idle uplink capacity. Bandwidth is a significant component of our cost of total revenues.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details on our cloud computing services and products, see “Item 4. Information on the Company—B. Business Overview.”</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Revenue-sharing costs</w:t>
      </w:r>
      <w:r>
        <w:rPr>
          <w:rFonts w:ascii="Times New Roman" w:cs="Times New Roman" w:eastAsia="Times New Roman" w:hAnsi="Times New Roman"/>
          <w:sz w:val="18"/>
          <w:szCs w:val="18"/>
          <w:color w:val="auto"/>
        </w:rPr>
        <w:t>. Revenue-sharing costs mainly represent the fees we pay to broadcasters and talent agencies for our live-streaming business.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Payment handling charges</w:t>
      </w:r>
      <w:r>
        <w:rPr>
          <w:rFonts w:ascii="Times New Roman" w:cs="Times New Roman" w:eastAsia="Times New Roman" w:hAnsi="Times New Roman"/>
          <w:sz w:val="18"/>
          <w:szCs w:val="18"/>
          <w:color w:val="auto"/>
        </w:rPr>
        <w:t>. Payment handling charges are the fees we pay to payment channels for subscription, live-streaming,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games and other paid services. Users can make payments for such services through third-party online, and mobile phone payment channels. These third-party payment channels typically charge a handling fee for their services. Our subscribers used to make subscription payments through mobile phones. However, as mobile carriers generally charge higher handling fees than other channels, we have modified our subscription fee structure to encourage our subscribers to use other available payment channels. We expect such payment handling charges as a percentage of revenues to increase as revenues from subscription and live-streaming businesses continue to grow, both of which rely heavily on third-party payment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(ii) sales and marketing expenses, (iii) general and administrative expenses, and (iv) credit loss expenses/(write-back), net. The following table sets forth the components of our operating expenses by amounts and percentages of our revenues for the years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ind w:left="5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8"/>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ind w:left="5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gridSpan w:val="8"/>
          </w:tcPr>
          <w:p>
            <w:pPr>
              <w:jc w:val="right"/>
              <w:ind w:right="2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expenses/(write-back),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164,685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color w:val="auto"/>
              </w:rPr>
              <w:t>123</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3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consist primarily of salaries and benefits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personnel. Expenditures incurred during the research phase are expensed as incurred. We expect our research and development expenses to increase in the future as we need to recruit and retain talents to develop new products and improve existing products, particularly our acceleration products and certain new initiatives.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consist primarily of salaries and benefits for our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personnel and marketing and promotional expenses. We expect our sales and marketing expenses to increase in the future as we expect to invest in brand enhancement efforts and the promotion of our products and services, particularly as we plan to increase our efforts in promoting our Mobile Xunlei, live-streaming products and other mobile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consist primarily of salaries and benefits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compensation expenses), depreciation of property and equipment, professional service fees and other administrative expenses. We expect our general and administrative expenses to increase in the future as we expect our business to continue to grow and as a result of general inflation.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loss expenses/(write-back), net</w:t>
      </w:r>
      <w:r>
        <w:rPr>
          <w:rFonts w:ascii="Times New Roman" w:cs="Times New Roman" w:eastAsia="Times New Roman" w:hAnsi="Times New Roman"/>
          <w:sz w:val="18"/>
          <w:szCs w:val="18"/>
          <w:color w:val="auto"/>
        </w:rPr>
        <w:t>. Credit loss</w:t>
      </w:r>
      <w:r>
        <w:rPr>
          <w:rFonts w:ascii="Times New Roman" w:cs="Times New Roman" w:eastAsia="Times New Roman" w:hAnsi="Times New Roman"/>
          <w:sz w:val="18"/>
          <w:szCs w:val="18"/>
          <w:i w:val="1"/>
          <w:iCs w:val="1"/>
          <w:color w:val="auto"/>
        </w:rPr>
        <w:t xml:space="preserve"> expenses/</w:t>
      </w:r>
      <w:r>
        <w:rPr>
          <w:rFonts w:ascii="Times New Roman" w:cs="Times New Roman" w:eastAsia="Times New Roman" w:hAnsi="Times New Roman"/>
          <w:sz w:val="18"/>
          <w:szCs w:val="18"/>
          <w:color w:val="auto"/>
        </w:rPr>
        <w:t>(write-back), net, primarily consist of credit losses allowances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due from related parties and other receivables. The credit loss expenses in 2025 mainly represents accrual of credit loss allowance for certain receivables based on our assessment.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impairment of goodwill was identified and recorded in the fourth quarter of 2024 mainly as the financial performance of our cloud computing business declined significantly in late 2024, which was assessed to be a sustained trend that has been reflected in the estimated future results from this business in our annual impairment test performed as of December 31, 2024</w:t>
      </w:r>
      <w:r>
        <w:rPr>
          <w:rFonts w:ascii="Times New Roman" w:cs="Times New Roman" w:eastAsia="Times New Roman" w:hAnsi="Times New Roman"/>
          <w:sz w:val="18"/>
          <w:szCs w:val="18"/>
          <w:color w:val="595959"/>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after execution, brought within the jurisdiction of the Cayman Islands.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PRC Enterprise Income Tax Law, effective on January 1, 2008 and last revised in December 2018, a 25% enterprise income tax rate is generally applicable to both foreign-invested enterprises and domestic enterprises, except where a special preferential rate applies. In addition, the PRC Enterprise Income Tax Law and its implementation rules permit qualified “high and new technology enterprises” (“HNTE”) to enjoy a reduced enterprise income tax rate of 15%.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PRC government authorities further issued qualification criteria, application procedures and assessment processes for the qualification of HNTE. Each of Shenzhen Xunlei, Shenzhen Onething, Xunlei Computer and Shenzhen Wangwenhua possessed such HNTE certificate for the year ended December 31, 2025. As a result, these four entities are qualified to enjoy a preferential tax rate of 15% for the year ended December 31, 2025. The HNTE certificates possessed by Shenzhen Xunlei and Shenzhen Wangwenhua were renewed and are effective until October 2026. The HNTE certificates possessed by Shenzhen Onething and Xunlei Computer were renewed in December 2024 and are effective until December 2027. In addition, we acquired Hupu (Shanghai) Information Technology Co., Ltd. in 2025, which also possesses such HNTE certificate, effective until 2028.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other major subsidiaries or VIE’s subsidiaries in the PRC have been granted preferential tax treatment under China’s Small and Low-Profit Enterprise tax incentive program, and the remaining are subject to the statutory corporate income tax rate of 25%. According to the PRC Enterprise Income Tax Law and its implementation rules, foreign enterprises which have no commercial presence in the PRC but derive dividends, interest, rents, royalties and other income (including capital gains) from sources in the PRC are subject to a 10% PRC withholding tax (a further reduced withholding tax rate may be available according to the applicable double tax treaty or arrangement). The 10% withholding tax is generally applicable to any dividends to be distributed from Giganology Shenzhen and Xunlei Computer to us out of any profits of Giganology Shenzhen and Xunlei Computer derived after January 1, 2008. Although Xunlei Computer and Giganology Shenzhen had retained earnings as of December 31, 2023, 2024 and 2025, the directors of the companies decided to reinvest the retained earnings permanently in China and therefore no such withholding tax is required.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PRC Enterprise Income Tax Law treats enterprises established outside the PRC with “effective management and control” located in the PRC as PRC resident enterprises for tax purposes. The term “effective management and control” is generally defined as exercising overall management and control over the business, personnel, accounting, properties, etc. of an enterprise. If a company is considered as a PRC resident enterprise for tax purposes, it would be subject to the PRC Enterprise Income Tax at the rate of 25% on its worldwide income after January 1, 2008. As of December 31, 2025, our company had not accrued for PRC tax on such basis. Our company will continue to monitor its tax status.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subsidiaries in Hong Kong are subject to 16.5% income tax on their taxable income generated from operations in Hong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Kong.</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subsidiaries incorporated in Singapore are subject to 17% of their taxable income.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by amounts and percentages of our revenues for the years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ind w:left="51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1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r>
      <w:tr>
        <w:trPr>
          <w:trHeight w:val="142"/>
        </w:trPr>
        <w:tc>
          <w:tcPr>
            <w:tcW w:w="5280" w:type="dxa"/>
            <w:vAlign w:val="bottom"/>
          </w:tcPr>
          <w:p>
            <w:pPr>
              <w:ind w:left="5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0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29"/>
        </w:trPr>
        <w:tc>
          <w:tcPr>
            <w:tcW w:w="5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gridSpan w:val="11"/>
          </w:tcPr>
          <w:p>
            <w:pPr>
              <w:jc w:val="right"/>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16"/>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net of rebates and discounts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Business taxes and surcharge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9"/>
        </w:trPr>
        <w:tc>
          <w:tcPr>
            <w:tcW w:w="52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363,722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323,140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460,428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(200,649)</w:t>
            </w: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(155,567)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(242,886)</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r>
      <w:tr>
        <w:trPr>
          <w:trHeight w:val="209"/>
        </w:trPr>
        <w:tc>
          <w:tcPr>
            <w:tcW w:w="52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163,073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167,573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217,542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(43,509)</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(86,260)</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(46,875)</w:t>
            </w: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(45,827)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(44,874)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(expenses)/write-back, net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(164,685)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(183,277)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(210,912)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(1,698)</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1,038,131</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224.5</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1,046,325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226.3</w:t>
            </w:r>
          </w:p>
        </w:tc>
      </w:tr>
      <w:tr>
        <w:trPr>
          <w:trHeight w:val="216"/>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(expenses)/benefits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(4,131)</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for the year</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1,047,610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226.6</w:t>
            </w:r>
          </w:p>
        </w:tc>
      </w:tr>
      <w:tr>
        <w:trPr>
          <w:trHeight w:val="209"/>
        </w:trPr>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income/(loss) attributable to the non-controlling interest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Xunlei Limited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1,048,265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to Period Comparison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Our total revenues increased by 42.5% from US$324.4 million in 2024 to US$462.4 million in 2025,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increased revenues from all businesses.</w:t>
      </w:r>
    </w:p>
    <w:p>
      <w:pPr>
        <w:spacing w:after="0" w:line="118" w:lineRule="exact"/>
        <w:rPr>
          <w:sz w:val="20"/>
          <w:szCs w:val="20"/>
          <w:color w:val="auto"/>
        </w:rPr>
      </w:pPr>
    </w:p>
    <w:p>
      <w:pPr>
        <w:jc w:val="both"/>
        <w:ind w:left="980" w:right="20" w:hanging="324"/>
        <w:spacing w:after="0" w:line="265" w:lineRule="auto"/>
        <w:tabs>
          <w:tab w:leader="none" w:pos="98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from subscription services increased by 15.8% from US$133.7 million in 2024 to US$154.8 million in 2025, primarily due to the growing number of total subscribers, which increased from 6.38 million as of December 31, 2024 to 7.67 million as of December 31, 2025.</w:t>
      </w:r>
    </w:p>
    <w:p>
      <w:pPr>
        <w:spacing w:after="0" w:line="177"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Revenues from live-streaming and other services increased by 97.5% from US$86.1 million in 2024 to US$170.2 million in 2025, primarily due to the growth of our overseas audio live-streaming businesses as well as advertising business mainly as a result of the acquisition of Hupu in May 2025.</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from cloud computing services and products increased by 31.4% from US$104.6 million in 2024 to US$137.4 million in 2025, primarily due to the increased demand of our cloud computing service.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color w:val="auto"/>
        </w:rPr>
        <w:t>. Our cost of revenues increased by 56.1% from US$155.6 million in 2024 to US$242.9 million in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attributable to the increased demand for our cloud computing services and increased revenue-sharing costs resulting from the growth of overseas audio live-streaming business.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Bandwidth costs</w:t>
      </w:r>
      <w:r>
        <w:rPr>
          <w:rFonts w:ascii="Times New Roman" w:cs="Times New Roman" w:eastAsia="Times New Roman" w:hAnsi="Times New Roman"/>
          <w:sz w:val="18"/>
          <w:szCs w:val="18"/>
          <w:color w:val="auto"/>
        </w:rPr>
        <w:t>. Our bandwidth costs increased by 40.5% from US$101.6 million in 2024 to US$142.8 million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increased demand for our cloud computing services, which was consistent with the increase in cloud computing revenues.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Revenue-sharing costs</w:t>
      </w:r>
      <w:r>
        <w:rPr>
          <w:rFonts w:ascii="Times New Roman" w:cs="Times New Roman" w:eastAsia="Times New Roman" w:hAnsi="Times New Roman"/>
          <w:sz w:val="18"/>
          <w:szCs w:val="18"/>
          <w:color w:val="auto"/>
        </w:rPr>
        <w:t>. Our revenue-sharing costs from live-streaming business increased by 113.8% from US$26.8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US$57.3 million in 2025, primarily due to the growth of our overseas audio live-streaming business, which was consistent with the increase in live-streaming revenues.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Payment handling charges</w:t>
      </w:r>
      <w:r>
        <w:rPr>
          <w:rFonts w:ascii="Times New Roman" w:cs="Times New Roman" w:eastAsia="Times New Roman" w:hAnsi="Times New Roman"/>
          <w:sz w:val="18"/>
          <w:szCs w:val="18"/>
          <w:color w:val="auto"/>
        </w:rPr>
        <w:t>. Our payment handling charges increased by 41.5% from US$12.7 million in 2024 to US$18.0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primarily because of the increased demand for third-party payment service to collect fees from subscription and overseas live-streaming services, as well as the increased portion of overseas live-streaming which have higher payment handling charges.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costs</w:t>
      </w:r>
      <w:r>
        <w:rPr>
          <w:rFonts w:ascii="Times New Roman" w:cs="Times New Roman" w:eastAsia="Times New Roman" w:hAnsi="Times New Roman"/>
          <w:sz w:val="18"/>
          <w:szCs w:val="18"/>
          <w:color w:val="auto"/>
        </w:rPr>
        <w:t>. These costs increased by 71.9% from US$14.4 million in 2024 to US$24.8 million in 2025,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depreciation charges of our leased assets</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As a result of the above, our gross profit increased by 29.8% from US$167.6 million in 2024 to US$217.5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2025. The increase was primarily attributable to the increased gross profit from our Xunlei segment, particularly from our subscription and overseas audio live-streaming businesses, as well as the gross profit contributed by the Hupu segment following its acquisition in May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margin decreased from 51.7% in 2024 to 47.0% in 2025, primarily due to the decreased portion of subscription revenues to total revenues within our Xunlei segment, which have a higher gross profit margin, and the increased portion of our overseas live-streaming business and cloud computing within our Xunlei segment, which have lower gross profit margins, partially offset by the higher gross profit margin contribution from the Hupu segment following its acquisition in May 2025.</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increased by 11.8% from US$71.6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US$80.0 million in 2025, primarily due to the increased labor costs and share-based compensation as compared with the previous year.</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increased by 92.4% from US$44.8 million in 2024 to US$86.3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primarily due to the expansion of our marketing campaign and related expenses incurred for our subscription and live-streaming businesses and increased labor costs.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2.1% from US$45.8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US$44.9 million in 2025.</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loss expenses/(write-back), net</w:t>
      </w:r>
      <w:r>
        <w:rPr>
          <w:rFonts w:ascii="Times New Roman" w:cs="Times New Roman" w:eastAsia="Times New Roman" w:hAnsi="Times New Roman"/>
          <w:sz w:val="18"/>
          <w:szCs w:val="18"/>
          <w:color w:val="auto"/>
        </w:rPr>
        <w:t>. We recorded a credit amount of US$0.3 million in 2025 compared to a debit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US$0.3 million in 2024. The change was primarily due to a decrease in the allowance for receivables based on our assessment as of December 31, 2025.</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goodwill</w:t>
      </w:r>
      <w:r>
        <w:rPr>
          <w:rFonts w:ascii="Times New Roman" w:cs="Times New Roman" w:eastAsia="Times New Roman" w:hAnsi="Times New Roman"/>
          <w:sz w:val="18"/>
          <w:szCs w:val="18"/>
          <w:color w:val="auto"/>
        </w:rPr>
        <w:t>. We did not record any impairment of goodwill for the year ended December 31, 2025. An impairment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goodwill was identified and recorded in the fourth quarter of 2024 mainly as the financial performance of our cloud computing business declined significantly in late 2024, which was assessed to be a sustained trend that has been reflected in the estimated future results from this business in our annual impairment test performed as of December 31,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Our operating expenses increased by 15.1% from US$183.3 million in 2024 to US$210.9 million in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increased sales and marketing promotion expenses and labor costs.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Our interest income decreased by 33.3% from US$4.9 million in 2024 to US$3.3 million in 2025,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decreased interest income from time deposits with original maturities of three months or less.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Our interest expense increased by 133.2% from US$0.7 million in 2024 to US$1.7 million in 2025,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an increase in the average loan balance during this year in 2025 as compared to the prior year.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color w:val="auto"/>
        </w:rPr>
        <w:t>. Our other income, net increased by 11,204.9% from US$9.2 million in 2024 to US$1,038.1 million in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unrealized fair value gains from our long-term investment in Arashi Vision, which completed its initial public offering on the Shanghai Stock Exchange STAR Market in June 2025. As of December 31, 2025, we held approximately 7.8% equity interest in Arashi Vision. Following the listing, the investment is measured at fair value based on the quoted closing market price of Arashi Vision’s shares. This fair value measurement resulted in the recognition of significant unrealized gains in 2025. As a pre-IPO shareholder, we are subject to a statutory lock-up obligation under applicable PRC laws and regulations, which restricts us from transferring our shares for a period of one year from the date of the listing.</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(expenses)/benefits</w:t>
      </w:r>
      <w:r>
        <w:rPr>
          <w:rFonts w:ascii="Times New Roman" w:cs="Times New Roman" w:eastAsia="Times New Roman" w:hAnsi="Times New Roman"/>
          <w:sz w:val="18"/>
          <w:szCs w:val="18"/>
          <w:color w:val="auto"/>
        </w:rPr>
        <w:t>. We had income tax benefits of US$1.3 million in 2025, compared with US$3.0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The income tax benefits in 2025 was primarily attributable to the liquidation of a VIE’s subsidiary. The benefit was partially offset by income tax expenses incurred by other entities within our group.</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As a result of the above, there was a net income of US$1,047.6 million in 2025, as compared with a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US$0.7 million in 2024. The change was primarily driven by the increase in gross profit and other income, net during the year.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Xunlei Limited</w:t>
      </w:r>
      <w:r>
        <w:rPr>
          <w:rFonts w:ascii="Times New Roman" w:cs="Times New Roman" w:eastAsia="Times New Roman" w:hAnsi="Times New Roman"/>
          <w:sz w:val="18"/>
          <w:szCs w:val="18"/>
          <w:color w:val="auto"/>
        </w:rPr>
        <w:t>. As a result of the above, we generated a net income attributable to Xunlei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US$1,048.3 million in 2025 and a net income attributable to Xunlei Limited of US$1.2 million 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Our total revenues decreased by 11.1% from US$364.9 million in 2023 to US$324.4 million in 2024,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decreased revenues from our cloud computing and live-streaming businesses.</w:t>
      </w:r>
    </w:p>
    <w:p>
      <w:pPr>
        <w:spacing w:after="0" w:line="159" w:lineRule="exact"/>
        <w:rPr>
          <w:sz w:val="20"/>
          <w:szCs w:val="20"/>
          <w:color w:val="auto"/>
        </w:rPr>
      </w:pPr>
    </w:p>
    <w:p>
      <w:pPr>
        <w:jc w:val="both"/>
        <w:ind w:left="1000" w:hanging="317"/>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subscription services increased by 12.0% from US$119.3 million in 2023 to US$133.7 million in 2024, primarily due to the growing number of total subscribers, which increased from 5.99 million as of December 31, 2023, to 6.38 million as of December 31, 2024.</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cloud computing services and products decreased by 15.3% from US$123.4 million in 2023 to US$104.6 million in 2024, primarily due to the reduced sales of our cloud computing service and hardware devices.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live-streaming and other services decreased by 29.5% from US$122.2 million in 2023 to US$86.1 million in 2024, primarily due to the downsizing of our domestic audio live-streaming operations since June 2023.</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color w:val="auto"/>
        </w:rPr>
        <w:t>. Our cost of revenues decreased by 22.5% from US$200.6 million in 2023 to US$155.6 million in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attributable to the decreased demand for our cloud computing services and reduced revenue-sharing costs resulting from the downsizing of our domestic audio live-streaming business.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Bandwidth costs</w:t>
      </w:r>
      <w:r>
        <w:rPr>
          <w:rFonts w:ascii="Times New Roman" w:cs="Times New Roman" w:eastAsia="Times New Roman" w:hAnsi="Times New Roman"/>
          <w:sz w:val="18"/>
          <w:szCs w:val="18"/>
          <w:color w:val="auto"/>
        </w:rPr>
        <w:t>. Our bandwidth costs decreased by 9.7% from US$112.5 million in 2023 to US$101.6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enhanced utilization efficiency and the decreased demand for our cloud computing services, which was consistent with the decrease in cloud computing revenues.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Revenue-sharing costs</w:t>
      </w:r>
      <w:r>
        <w:rPr>
          <w:rFonts w:ascii="Times New Roman" w:cs="Times New Roman" w:eastAsia="Times New Roman" w:hAnsi="Times New Roman"/>
          <w:sz w:val="18"/>
          <w:szCs w:val="18"/>
          <w:color w:val="auto"/>
        </w:rPr>
        <w:t>. Our revenue-sharing costs from live-streaming business decreased by 60.2% from US$67.3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US$26.8 million in 2024, primarily due to the downsizing of our domestic audio live-streaming business, which led to the decline in live-streaming revenues as well as revenue-sharing costs.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Payment handling charges</w:t>
      </w:r>
      <w:r>
        <w:rPr>
          <w:rFonts w:ascii="Times New Roman" w:cs="Times New Roman" w:eastAsia="Times New Roman" w:hAnsi="Times New Roman"/>
          <w:sz w:val="18"/>
          <w:szCs w:val="18"/>
          <w:color w:val="auto"/>
        </w:rPr>
        <w:t>. Our payment handling charges increased by 50.0% from US$8.5 million in 2023 to US$12.7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primarily because of the increased demand for third-party payment service to collect fees from subscription and overseas live-streaming services, as well as the increased portion of overseas live-streaming which have higher payment handling charges.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costs</w:t>
      </w:r>
      <w:r>
        <w:rPr>
          <w:rFonts w:ascii="Times New Roman" w:cs="Times New Roman" w:eastAsia="Times New Roman" w:hAnsi="Times New Roman"/>
          <w:sz w:val="18"/>
          <w:szCs w:val="18"/>
          <w:color w:val="auto"/>
        </w:rPr>
        <w:t>. These costs increased by 16.8% from US$12.3 million in 2023 to US$14.4 million in 2024,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depreciation charges of our leased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of the above, our gross profit increased by 2.8% from US$163.1 million in 2023 to US$167.6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2024. The increase was primarily attributable to the increased proportion of subscription revenues to total revenues within our Xunlei segment, which have a higher gross profit margin, partially offset by the decreased gross profit from our cloud computing business within our Xunlei segment.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margin increased from 44.7% in 2023 to 51.7% in 2024, primarily due to the impact from the downsizing of our domestic live-streaming business within our Xunlei segment, which has a lower gross profit margin, and an increased portion of subscription revenues to total revenues within our Xunlei segment, which has a higher gross profit margin.</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Our operating expenses increased by 11.3% from US$164.7 million in 2023 to US$183.3 million in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impairment of goodwill.</w:t>
      </w:r>
    </w:p>
    <w:p>
      <w:pPr>
        <w:spacing w:after="0" w:line="15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3.5% from US$74.2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US$71.6 million in 2024, primarily due to the decreased labor costs and share-based compensation as compared with the previous year.</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increased by 3.1% from US$43.5 million in 2023 to US$44.8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primarily due to the expansion of our marketing campaign and related expenses incurred for our subscription and live-streaming businesses and increased labor costs.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2.2% from US$46.9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US$45.8 million in 2024, primarily due to the decrease in share-based compensation expenses during the year, partially offset by the increase in labor costs as compared with the previous year.</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Credit loss expenses, net</w:t>
      </w:r>
      <w:r>
        <w:rPr>
          <w:rFonts w:ascii="Times New Roman" w:cs="Times New Roman" w:eastAsia="Times New Roman" w:hAnsi="Times New Roman"/>
          <w:sz w:val="18"/>
          <w:szCs w:val="18"/>
          <w:color w:val="auto"/>
        </w:rPr>
        <w:t>. We recorded a credit loss expenses, net of US$0.3 million in 2024, compared to US$0.1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change was primarily due to an increase in the allowance for receivables based on our assessment as of December 31, 2024.</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impairment of goodwill of US$20.7 million was identified and recorded in the fourth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mainly as the financial performance of our cloud computing business declined significantly in late 2024, which was assessed to be a sustained trend that has been reflected in the estimated future results from this business in our annual impairment test performed as of December 31,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Our interest income increased by 5.9% from US$4.6 million in 2023 to US$4.9 million in 2024,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increased interest income from time deposits with original maturities of three months or less.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Our interest expense decreased from US$1.5 million in 2023 to US$0.7 million in 2024, primarily due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replacement of certain bank borrowings with lower interest rate during this year in 2024.</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color w:val="auto"/>
        </w:rPr>
        <w:t>. Our other income, net decreased by 45.7% from US$16.9 million in 2023 to US$9.2 million in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less income from reversal of long aged payables with low payment probability and the decrease in exchange gains and subsidy income received during the year.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(expenses)/benefits</w:t>
      </w:r>
      <w:r>
        <w:rPr>
          <w:rFonts w:ascii="Times New Roman" w:cs="Times New Roman" w:eastAsia="Times New Roman" w:hAnsi="Times New Roman"/>
          <w:sz w:val="18"/>
          <w:szCs w:val="18"/>
          <w:color w:val="auto"/>
        </w:rPr>
        <w:t>. We had income tax benefits of US$3.0 million in 2024, compared with an income tax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approximately US$4.1 million in 2023. The tax benefit in 2024 was primarily attributable to the tax benefit from investment loss in a subsidiary under liquidation. The benefit was partially offset by income tax expenses incurred by other entities within our group.</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As a result of the above, there was a net income of US$0.7 million in 2024, as compared with a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US$14.3 million in 2023. The change was primarily due to the increase in operating loss, partially offset by the decrease in income tax expense during the year.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Xunlei Limited</w:t>
      </w:r>
      <w:r>
        <w:rPr>
          <w:rFonts w:ascii="Times New Roman" w:cs="Times New Roman" w:eastAsia="Times New Roman" w:hAnsi="Times New Roman"/>
          <w:sz w:val="18"/>
          <w:szCs w:val="18"/>
          <w:color w:val="auto"/>
        </w:rPr>
        <w:t>. As a result of the above, we generated a net income attributable to Xunlei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US$1.2 million in 2024 and a net income attributable to Xunlei Limited of US$14.2 million in 2023.</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Upon completion of the acquisition of Hupu in May 2025, the Group started to report results of operations in two segments: (i) Xunlei, for the pre-existing business, and (ii) Hupu, for the newly acquired business.</w:t>
      </w:r>
    </w:p>
    <w:p>
      <w:pPr>
        <w:spacing w:after="0" w:line="15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revenues by segment for the periods indicated, with inter-segment revenues eliminated in consolidation:</w:t>
      </w:r>
    </w:p>
    <w:p>
      <w:pPr>
        <w:spacing w:after="0" w:line="16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2840" w:type="dxa"/>
            <w:vAlign w:val="bottom"/>
          </w:tcPr>
          <w:p>
            <w:pPr>
              <w:ind w:left="2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480" w:type="dxa"/>
            <w:vAlign w:val="bottom"/>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tcPr>
          <w:p>
            <w:pPr>
              <w:jc w:val="right"/>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16"/>
        </w:trPr>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Xunlei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364,911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5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Hupu</w:t>
            </w:r>
            <w:r>
              <w:rPr>
                <w:rFonts w:ascii="Times New Roman" w:cs="Times New Roman" w:eastAsia="Times New Roman" w:hAnsi="Times New Roman"/>
                <w:sz w:val="25"/>
                <w:szCs w:val="25"/>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364,911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8" w:lineRule="exact"/>
        <w:rPr>
          <w:sz w:val="20"/>
          <w:szCs w:val="20"/>
          <w:color w:val="auto"/>
        </w:rPr>
      </w:pPr>
    </w:p>
    <w:p>
      <w:pPr>
        <w:ind w:right="40" w:firstLine="8"/>
        <w:spacing w:after="0" w:line="302" w:lineRule="auto"/>
        <w:tabs>
          <w:tab w:leader="none" w:pos="21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Hupu is included in the “Live-streaming and other services” line item in the revenue by nature analysis. See “—Period to Period Comparison of Results of Operations” for a discussion of changes in total revenues, under the section entitled “—Revenues.”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2023 and 2024, all of our revenues were attributable to the Xunlei segment. For the year ended December 31, 2025, the Hupu segment contributed US$20.1 million, or 4.4%, of our total revenues.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segment operating results for the years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US$)</w:t>
            </w:r>
          </w:p>
        </w:tc>
        <w:tc>
          <w:tcPr>
            <w:tcW w:w="190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8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Xunlei</w:t>
            </w:r>
          </w:p>
        </w:tc>
        <w:tc>
          <w:tcPr>
            <w:tcW w:w="10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Hupu</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total revenues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442,289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Bandwidth costs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(142,827)</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Advertising and market promotion expenses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Revenue-sharing costs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5"/>
                <w:szCs w:val="25"/>
                <w:color w:val="auto"/>
                <w:vertAlign w:val="superscript"/>
              </w:rPr>
              <w:t>(1)</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1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5,023</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also have retrospectively recast the segment financial information for the year ended December 31, 2023 and 2024 to conform to the new segment structure as below, the retrospective recast primarily involves reclassifying significant segment expenses and updating usage metrics. No changes were made to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US$)</w:t>
            </w:r>
          </w:p>
        </w:tc>
        <w:tc>
          <w:tcPr>
            <w:tcW w:w="5940" w:type="dxa"/>
            <w:vAlign w:val="bottom"/>
            <w:gridSpan w:val="3"/>
          </w:tcPr>
          <w:p>
            <w:pPr>
              <w:ind w:left="3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 the year ended December 31, 2024</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2680" w:type="dxa"/>
            <w:vAlign w:val="bottom"/>
            <w:tcBorders>
              <w:top w:val="single" w:sz="8" w:color="auto"/>
            </w:tcBorders>
          </w:tcPr>
          <w:p>
            <w:pPr>
              <w:jc w:val="right"/>
              <w:ind w:right="1059"/>
              <w:spacing w:after="0" w:line="142" w:lineRule="exact"/>
              <w:rPr>
                <w:sz w:val="20"/>
                <w:szCs w:val="20"/>
                <w:color w:val="auto"/>
              </w:rPr>
            </w:pPr>
            <w:r>
              <w:rPr>
                <w:rFonts w:ascii="Times New Roman" w:cs="Times New Roman" w:eastAsia="Times New Roman" w:hAnsi="Times New Roman"/>
                <w:sz w:val="14"/>
                <w:szCs w:val="14"/>
                <w:b w:val="1"/>
                <w:bCs w:val="1"/>
                <w:color w:val="auto"/>
              </w:rPr>
              <w:t>Xunlei</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total revenues</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 promotion expenses</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Revenue-sharing costs</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5"/>
                <w:szCs w:val="25"/>
                <w:color w:val="auto"/>
                <w:vertAlign w:val="superscript"/>
              </w:rPr>
              <w:t>(1)</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3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4020" w:type="dxa"/>
            <w:vAlign w:val="bottom"/>
          </w:tcPr>
          <w:p>
            <w:pPr>
              <w:spacing w:after="0"/>
              <w:rPr>
                <w:sz w:val="24"/>
                <w:szCs w:val="24"/>
                <w:color w:val="auto"/>
              </w:rPr>
            </w:pPr>
          </w:p>
        </w:tc>
        <w:tc>
          <w:tcPr>
            <w:tcW w:w="3220" w:type="dxa"/>
            <w:vAlign w:val="bottom"/>
          </w:tcPr>
          <w:p>
            <w:pPr>
              <w:jc w:val="right"/>
              <w:ind w:right="2052"/>
              <w:spacing w:after="0"/>
              <w:rPr>
                <w:sz w:val="20"/>
                <w:szCs w:val="20"/>
                <w:color w:val="auto"/>
              </w:rPr>
            </w:pPr>
            <w:r>
              <w:rPr>
                <w:rFonts w:ascii="Times New Roman" w:cs="Times New Roman" w:eastAsia="Times New Roman" w:hAnsi="Times New Roman"/>
                <w:sz w:val="18"/>
                <w:szCs w:val="18"/>
                <w:color w:val="auto"/>
              </w:rPr>
              <w:t>130</w:t>
            </w: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US$)</w:t>
            </w:r>
          </w:p>
        </w:tc>
        <w:tc>
          <w:tcPr>
            <w:tcW w:w="4800" w:type="dxa"/>
            <w:vAlign w:val="bottom"/>
            <w:gridSpan w:val="3"/>
          </w:tcPr>
          <w:p>
            <w:pPr>
              <w:ind w:left="1960"/>
              <w:spacing w:after="0"/>
              <w:rPr>
                <w:sz w:val="20"/>
                <w:szCs w:val="20"/>
                <w:color w:val="auto"/>
              </w:rPr>
            </w:pPr>
            <w:r>
              <w:rPr>
                <w:rFonts w:ascii="Times New Roman" w:cs="Times New Roman" w:eastAsia="Times New Roman" w:hAnsi="Times New Roman"/>
                <w:sz w:val="14"/>
                <w:szCs w:val="14"/>
                <w:b w:val="1"/>
                <w:bCs w:val="1"/>
                <w:color w:val="auto"/>
              </w:rPr>
              <w:t>​​​  For the year ended December 31, 2023</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gridSpan w:val="2"/>
            <w:vMerge w:val="continue"/>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2680" w:type="dxa"/>
            <w:vAlign w:val="bottom"/>
            <w:tcBorders>
              <w:top w:val="single" w:sz="8" w:color="auto"/>
              <w:bottom w:val="single" w:sz="8" w:color="auto"/>
            </w:tcBorders>
          </w:tcPr>
          <w:p>
            <w:pPr>
              <w:jc w:val="right"/>
              <w:ind w:right="1056"/>
              <w:spacing w:after="0" w:line="142" w:lineRule="exact"/>
              <w:rPr>
                <w:sz w:val="20"/>
                <w:szCs w:val="20"/>
                <w:color w:val="auto"/>
              </w:rPr>
            </w:pPr>
            <w:r>
              <w:rPr>
                <w:rFonts w:ascii="Times New Roman" w:cs="Times New Roman" w:eastAsia="Times New Roman" w:hAnsi="Times New Roman"/>
                <w:sz w:val="14"/>
                <w:szCs w:val="14"/>
                <w:b w:val="1"/>
                <w:bCs w:val="1"/>
                <w:color w:val="auto"/>
              </w:rPr>
              <w:t>Xunlei</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Segment total revenues</w:t>
            </w:r>
          </w:p>
        </w:tc>
        <w:tc>
          <w:tcPr>
            <w:tcW w:w="208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20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 promotion expenses</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Revenue-sharing costs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5"/>
                <w:szCs w:val="25"/>
                <w:color w:val="auto"/>
                <w:vertAlign w:val="superscript"/>
              </w:rPr>
              <w:t>(1)</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loss from operations</w:t>
            </w:r>
          </w:p>
        </w:tc>
        <w:tc>
          <w:tcPr>
            <w:tcW w:w="208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ind w:left="220" w:hanging="212"/>
        <w:spacing w:after="0" w:line="182" w:lineRule="auto"/>
        <w:tabs>
          <w:tab w:leader="none" w:pos="22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Other expenses mainly comprised payment handling charges, depreciation and amortization charges, labor outsourcing expenses and professional service fees.</w:t>
      </w:r>
    </w:p>
    <w:p>
      <w:pPr>
        <w:spacing w:after="0" w:line="208"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from the segment (loss)/income from operations to the consolidated income/(loss) before income tax expenses for the years ended December 31, 2023,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Borders>
              <w:bottom w:val="single" w:sz="8" w:color="auto"/>
            </w:tcBorders>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(loss)/income from operations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1,038,131</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1,046,325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total revenues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Segment total revenues were US$364.9 million in 2023, US$324.4 million in 2024, and US$462.4 million in 2025, representing a decrease of 11.1% from 2023 to 2024 and an increase of 42.5% from 2024 to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segment</w:t>
      </w:r>
    </w:p>
    <w:p>
      <w:pPr>
        <w:spacing w:after="0" w:line="1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Revenues from our Xunlei segment decreased by 11.1% from US$364.9 million in 2023 to US$324.4 million in 2024, primarily due to the decrease in cloud computing revenues resulting from heightened competition and pricing pressure, as well as the downsizing of our domestic live-streaming operations since June 2023, partially offset by the growth of our subscription business. Revenues from our Xunlei segment increased by 36.3% from US$324.4 million in 2024 to US$442.3 million in 2025, primarily due to the growth of our subscription and overseas audio live-streaming businesses.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Hupu segment</w:t>
      </w:r>
    </w:p>
    <w:p>
      <w:pPr>
        <w:spacing w:after="0" w:line="14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May 2025, we completed the acquisition of Hupu. For the year ended December 31, 2025, the Hupu segment contributed US$20.1 million of revenues or contributed to the 4.4% of our total segment revenues in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Segment (loss)/income from operations went from a loss of US$1.6 million in 2023 to an income of US$5.0 million in 2024, and increased by 31.4% from an income of US$5.0 million in 2024 to an income of US$6.6 million in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segment</w:t>
      </w:r>
    </w:p>
    <w:p>
      <w:pPr>
        <w:spacing w:after="0" w:line="15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Segment income from operations from our Xunlei segment went from a loss of US$1.6 million in 2023 to an income of US$5.0 million in 2024, primarily due to an increase in gross profit and gross profit margin, which was mainly driven by the increase in gross profit of our subscription business and the increased portion of subscription revenues to total revenues, as subscription services have a higher gross profit margin. Segment income from operations from our Xunlei segment decreased by 68.1% from US$5.0 million in 2024 to US$1.6 million in 2025, primarily due to a decrease in gross profit from our cloud computing business and an increase in operating expenses, partially offset by higher gross profit from our subscription and live-streaming businesses.</w:t>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Hupu segment</w:t>
      </w:r>
    </w:p>
    <w:p>
      <w:pPr>
        <w:spacing w:after="0" w:line="225" w:lineRule="exact"/>
        <w:rPr>
          <w:sz w:val="20"/>
          <w:szCs w:val="20"/>
          <w:color w:val="auto"/>
        </w:rPr>
      </w:pPr>
    </w:p>
    <w:p>
      <w:pPr>
        <w:jc w:val="both"/>
        <w:ind w:right="300" w:firstLine="693"/>
        <w:spacing w:after="0" w:line="266" w:lineRule="auto"/>
        <w:rPr>
          <w:sz w:val="20"/>
          <w:szCs w:val="20"/>
          <w:color w:val="auto"/>
        </w:rPr>
      </w:pPr>
      <w:r>
        <w:rPr>
          <w:rFonts w:ascii="Times New Roman" w:cs="Times New Roman" w:eastAsia="Times New Roman" w:hAnsi="Times New Roman"/>
          <w:sz w:val="18"/>
          <w:szCs w:val="18"/>
          <w:color w:val="auto"/>
        </w:rPr>
        <w:t>In May 2025, we completed the acquisition of Hupu. For the year ended December 31, 2025, the Hupu segment contributed US$5.0 million of segment income from operations, which was the primary driver of the 31.4% increase in our total segment income from operations in 2025.</w:t>
      </w:r>
    </w:p>
    <w:p>
      <w:pPr>
        <w:spacing w:after="0" w:line="172"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by using our existing internal cash reserves and borrowing bank loans. As of December 31, 2025, we had US$305.2 million in cash and cash equivalents and short-term investments, and we also had US$75.6 million outstanding bank loans.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have incurred accounts receivable from the sales of cloud computing services and advertising revenue sharing with Itui, as well as from Hupu’s advertising services after it is acquired by us. Thus, the financials of our customers purchasing cloud computing services from us including Itui may affect our collection of accounts receivable. Any inability of customers of our cloud computing services, especially those that accounted for a significant percentage of our accounts receivable in the past, to pay us in a timely manner may adversely affect our liquidity and cash flows. In the future, we may rely on dividends and other distributions on equity paid by our wholly-owned PRC subsidiaries for our cash and financing requirements. There may be potential restrictions on the dividends and other distributions by our PRC subsidiaries. For instance, if Giganology Shenzhen, our PRC subsidiary, incurs debt on its own behalf in the future, the instruments governing the debt may restrict its ability to pay dividends or make other distributions to us. The PRC tax authorities may require us to adjust our taxable income under the contractual arrangements that Giganology Shenzhen and Xunlei Computer currently have in place with Shenzhen Xunlei and Shenzhen Suqu, respectively, in a way that would materially and adversely affect the latter’s ability to pay dividends and other distributions to us. In addition, under PRC laws and regulations, Giganology Shenzhen or Xunlei Computer, as wholly foreign-owned enterprises in China, may pay dividends only out of their accumulated profits as determined in accordance with PRC accounting standards and regulations. Wholly foreign-owned enterprises such as Giganology Shenzhen and Xunlei Computer are required to set aside at least 10% of their accumulated after-tax profits each year, if any, to fund a statutory reserve fund, until the aggregate amount of such fund reaches 50% of their respective registered capital. At their discretion, wholly foreign-owned enterprises may allocate a portion of their after-tax profits based on PRC accounting standards to staff welfare and bonus funds. These reserve funds and staff welfare and bonus funds are not distributable as cash dividends. See “Item 3. Key Information —D. Risk Factors—Risk Related to Our Corporate Structure—We may rely principally on dividends and other distributions on equity paid by our PRC subsidiaries to fund any cash and financing requirements we may have. Any limitation on the ability of Giganology Shenzhen and Xunlei Computer to pay dividends to us could have a material adverse effect on our ability to conduct our business.” In addition, our investment made as registered capital and additional paid in capital of our subsidiaries, the variable interest are also subject to restrictions in their distribution and transfer according to the laws and regulations in China. Owing to the above, our subsidiaries, variable interest entities and their subsidiaries in China are restricted in their ability to transfer their net assets to us in terms of cash dividends, loans or advances. As of December 31, 2025, the amount of the restricted net assets, which represents registered capital and additional paid-in capital cumulative appropriations made to statutory reserves, was US$175.0 million.</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 raising activities to our PRC subsidiaries only through loans or capital contributions, and to the variable interest entities only through loans, subject to the satisfaction of the applicable government registration and approval requirements. See “Item 3. Key Information—D. Risk Factors— Risks Related to Our Corporate Structure—PRC regulation of loans to, and direct investment in, PRC entities by offshore holding companies and government control of currency conversion may restrict or prevent us from making loans to our PRC subsidiaries and variable interest entities and their subsidiaries or making additional capital contributions to our PRC subsidiaries, which may materially and adversely affect our liquidity and our ability to fund and expand our business.” As a result, uncertainties exist as to our ability to provide prompt financial support to our PRC subsidiaries or variable interest entities when needed. Notwithstanding the forgoing, our WFOEs may use their own retained earnings (as opposed to Renminbi converted from foreign currency denominated capital) to provide financial support to variable interest entities either through extended payment terms on amounts due to our WFOEs from variable interest entities, or via entrusted loans from our WFOEs to variable interest entities, or direct loans to their respective nominee shareholders, which would be contributed to the variable interest entity as capital injection. Such direct loans to the nominee shareholders would be eliminated in the consolidated financial statements against the VIE’s share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and cash equivalents and anticipated cash flow from operations will be sufficient to meet our anticipated cash needs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and cash equivalents we have on hand, we may seek to issue debt or equity securities or obtain additional credit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000" w:type="dxa"/>
            <w:vAlign w:val="bottom"/>
            <w:gridSpan w:val="2"/>
          </w:tcPr>
          <w:p>
            <w:pPr>
              <w:ind w:left="68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0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 of US$</w:t>
            </w:r>
          </w:p>
        </w:tc>
        <w:tc>
          <w:tcPr>
            <w:tcW w:w="140" w:type="dxa"/>
            <w:vAlign w:val="bottom"/>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financing activities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(decrease)/increase in cash, cash equivalents and restricted cash</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177,547</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and restricted cash of US$157.8 million in total, including RMB619.3 million (US$88.1 million) and US$3.3 million located within the PRC, of which RMB269.9 million (US$38.4 million) and US$0.6 million was held by the variable interest entities and their subsidiaries. We also had cash and cash equivalents of RMB0.2 million (US$25.8 thousand), US$62.4 million, HKD1.0 million (US$0.1 million), SGD4.8 million (US$3.7 million), PHP$8.2 million (US$138.8 thousand) and INR$62.9 million (US$3.7 thousand), JPY 340.0 thousand (US$2.2 thousand), MYR46.3 thousand (US$11.4 thousand) and TRY4.8 thousand (US$1.1 thousand) located outside of the PRC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generated from operating activities amounted to US$32.5 million in 2025, as compared to a net income of US$1,047.6 million. The difference between net cash generated from operating activities and net income was attributable to adjustments for certain non-cash income or expenses and net changes in working capital. Adjustments for non-cash income or expenses consisted principally net unrealized fair value gains of long-term investments of US$1,033.0 million, the share-based compensation expenses of US$3.8 million and depreciation of property and equipment of US$5.0 million. The net change in working capital was primarily due to (i) an increase in accounts receivable of US$27.4 million, which was in line with the increased revenues from cloud computing services, subscription services and live-streaming services, (ii) an increase in accrued liabilities and other payables of US$2.8 million, which was mainly due to the increase in payables for advertisements and tax levies; (iii) an increase in accounts payable of US$15.6 million, which was in line with the increase in bandwidth purchase for the cloud computing service, (iv) an increase in contract liabilities of US$3.6 million, which was in line with the increase in our subscription revenues, (v) a decrease in income tax payable of US$5.7 million, which was mainly due to the tax benefit from the liquidation of a VIE’s subsidiary.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generated from operating activities amounted to US$31.0 million in 2024, as compared to a net income of US$0.7 million. The difference between net cash generated from operating activities and net income was attributable to adjustments for certain non-cash expenses and net changes in working capital. Adjustments for non-cash expenses consisted principally of one-time impairment of goodwill of US$20.7 million, the share-based compensation expenses of US$2.5 million, and depreciation of property and equipment of US$4.7 million. The net change in working capital was primarily due to (i) an increase in accounts receivable of US$2.0 million, which was in line with the increased revenues from joint-subscription service, (ii) an increase in accrued liabilities and other payables of US$5.4 million, which was mainly due to an increase in payables for advertisements and tax levies; (iii) an increase in contract liabilities of US$3.6 million, which was in line with the increase in our subscription revenues, (iv) an increase in income tax payable of US$3.1 million, which was mainly due to the increase in taxable profit, and (v) an increase in deferred tax assets of US$10.1 million, which was primarily attributable to the tax benefit from investment loss in a subsidiary under liquidation.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generated from operating activities amounted to US$25.7 million in 2023, as compared to a net income of US$14.3 million. The difference between net cash generated from operating activities and net income was attributable to adjustments for certain non-cash expenses and net changes in working capital. Adjustments for non-cash expenses consisted principally of the share-based compensation expenses of US$9.7 million, depreciation of property and equipment of US$4.4 million, and impairment of property and equipment of US$1.1 million. The net change in working capital was primarily due to (i) an increase in accounts receivable of US$2.0 million, which was in line with the increased cloud computing service revenues, (ii) a decrease in contract liabilities of US$2.0 million, which was in line with the increase in our subscription revenues, (iii) an increase in inventories of US$1.8 million, which was mainly due to the increased demand of our cloud computing products, and (iv) an increase in accrued liabilities and other payables of US$3.1 million, primarily attributable to an increased accrual in employee bonus and marketing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largely reflects purchases of property and equipment in connection with the expansion and upgrade of our technology infrastructure, purchases of intangibles assets, acquisition of long-term investments, payments to purchase and payments received upon maturity of short-term investments such as treasury products.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US$99.1 million in 2025, primarily attributable to purchases of short-term investments of US$601.8 million and net cash paid for a business combination of US$52.1 million, partially offset by maturities of short-term investments of US$566.3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US$21.9 million in 2024, primarily attributable to our purchase of short-term investments of US$479.5 million and purchase of property and plant of US$8.0 million , while partially offset by maturities of short-term investments of US$470.2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amounted to US$23.9 million in 2023, primarily attributable to proceeds from collection upon maturities of short-term investments of US$360.7 million, which was partially offset by our purchase of short-term investments of US$378.2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generated from financing activities was US$45.5 million in 2025, which was attributable to the proceeds from bank borrowings of US$62.5 million, while offset by the repayment of bank borrowings of US$16.1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US$0.9 million in 2024, which was attributable to the repurchase of shares of US$7.7 million and repayment of bank borrowings of US$26.6 million, while offset by the proceeds from bank borrowings of US$33.4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amounted to US$13.5 million in 2023, primarily attributable to repayment of bank borrowings of US$13.1 million and repurchase of shares of US$4.7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cash requirements mainly include capital expenditures, contractual obligations and long-term debt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primarily consist of purchasing servers or other equipment for our business operations and payment for construction of our headquarters office building. We made capital expenditures of US$4.0 million, US$8.0 million, and US$5.3 million in 2023, 2024 and 2025, respectively. We will continue to make capital expenditures to meet the expected growth of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contractual obligations mainly include bandwidth lease obligations. The following table sets forth our contractual obligations as of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8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Less than  ​​​</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Over 5</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5"/>
                <w:szCs w:val="15"/>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lease obligations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unconditional purchase obligations for bandwidth that had not been recognized in the amount of US$39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 term debt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long term debt obligations primarily consist of bank borrowings and estimated interest payments. The interest rate of our long term loan is calculated based on the loan prime rate minus 45 or 10 basis points. The bank borrowings will be due according to the following schedule: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940" w:type="dxa"/>
            <w:vAlign w:val="bottom"/>
            <w:gridSpan w:val="2"/>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  Less than</w:t>
            </w:r>
          </w:p>
        </w:tc>
        <w:tc>
          <w:tcPr>
            <w:tcW w:w="1060" w:type="dxa"/>
            <w:vAlign w:val="bottom"/>
            <w:gridSpan w:val="2"/>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auto"/>
            </w:tcBorders>
          </w:tcPr>
          <w:p>
            <w:pPr>
              <w:spacing w:after="0"/>
              <w:rPr>
                <w:sz w:val="15"/>
                <w:szCs w:val="1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 of US$</w:t>
            </w:r>
          </w:p>
        </w:tc>
        <w:tc>
          <w:tcPr>
            <w:tcW w:w="860" w:type="dxa"/>
            <w:vAlign w:val="bottom"/>
          </w:tcPr>
          <w:p>
            <w:pPr>
              <w:jc w:val="right"/>
              <w:ind w:right="722"/>
              <w:spacing w:after="0" w:line="12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obligations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Estimated interest payment obligations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39,227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anticipated cash flows from operations, our existing cash balance and other financing alternatives. We will continue to make cash commitments, including capital expenditures, to support the growth of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 In addition, we have not entered into any derivative contracts that are indexed to our shares and classified as shareholders’ equity or that are not reflected in our consolidated financial statements. Furthermore, we do not have any guarantees, retained or contingent interest in assets transferred to an unconsolidated entity, contractual arrangements that support the credit, liquidity or market risk for transferred assets; obligations that arise or could arise from variable interests held in an unconsolidated entity.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commitment to research and development is an important contributing factor in our success. As of December 31, 2025, we had a team of 536 engineers. We provide our engineers with various continuing training programs and opportunities. To maintain and enhance our leadership position in the market, we will continue to compete for engineering talent and invest in research and development in order to provide better services to our users, subscribers and advertisers.</w:t>
      </w:r>
    </w:p>
    <w:p>
      <w:pPr>
        <w:spacing w:after="0" w:line="176" w:lineRule="exact"/>
        <w:rPr>
          <w:sz w:val="20"/>
          <w:szCs w:val="20"/>
          <w:color w:val="auto"/>
        </w:rPr>
      </w:pPr>
    </w:p>
    <w:p>
      <w:pPr>
        <w:ind w:left="680" w:hanging="672"/>
        <w:spacing w:after="0"/>
        <w:tabs>
          <w:tab w:leader="none" w:pos="6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known trends, uncertainties, demands, commitments or events for the period since January 1, 2026 that are reasonably likely to have a material effect on our revenues, income, profitability, liquidity or capital resources, or that would cause the disclosed financial information to be not necessarily indicative of future operating results or financial conditions.</w:t>
      </w:r>
    </w:p>
    <w:p>
      <w:pPr>
        <w:spacing w:after="0" w:line="17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See Item 18 of Part III, “Financial Statements—Note 2—Summary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current expected credit losses methodology requires that the full amount of expected credit losses for the lifetime of the financial instrument be recorded at the time when it is originated or acquired, considering relevant historical experience, current conditions and reasonable and supportable macroeconomic forecasts that affect the collectability of financial assets, and adjusted for changes in expected lifetime credit losses subsequently, which may require earlier recognition of credit losses. Our accounts receivable, due from related parties and other current assets (including other receivables) and other non-current assets (including other long-term receivables), are within the scope of ASC Topic 326.</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accounts receivable consists primarily of receivables from cloud computing customers, third-party payment channels and advertising customers. To estimate expected credit losses, we have identified the relevant risk characteristics of our customers and the related receivables and other receivables which include size, type of the services or the products we provide, or a combination of these characteristics. Receivables with similar risk characteristics have been grouped into pools and assessed on a pool basis. The credit loss assessment for each pool was mainly based on past collection experience, consideration of current and future economic conditions and changes in our collection trends. Other key factors that influence the expected credit loss analysis include credit rating, payment terms offered in the normal course of business to customers, and industry-specific factors that could impact our receivables. Additionally, external data and macroeconomic factors are also considered.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 of deferred tax assets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make estimates and apply judgment in determining the provision for income taxes for financial reporting purposes. We make these estimates and judgments primarily in the following areas: (i) the calculation of tax credits, (ii) the calculation of differences in the timing of recognition of revenue and expense for tax reporting and financial statement purposes, as well as (iii) the calculation of interest and penalties related to uncertain tax positions. Changes in these estimates and judgments may result in a material increase or decrease to our tax provision, which would be recorded in the period in which the change occurs. Deferred tax assets and liabilities are recognized for expected future tax consequences of temporary differences between the financial reporting and tax bases of assets and liabilities, and for operating losses and tax credit carry forwards. We record a valuation allowance to reduce deferred tax assets to an amount for which realization is more likely than not. To assess uncertain tax positions, we apply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 This process is inherently subjective since it requires our assessment of the probability of future outcomes. We evaluate these uncertain tax positions on a quarterly basis, including consideration of changes in facts and circumstances, such as new regulations or recent judicial opinions, as well as the status of audit activities by taxing authorities. Changes in these estimates and assumptions could materially affect the tax position measurement and financial statement recognition. See Note 22 to the consolidated financial statements for information regarding taxation.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intangible assets acquired in business combinations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which requires us to allocate purchase consideration to tangible assets acquired, liabilities assumed, and identifiable intangible assets based on their estimated fair values as of the acquisition date. The excess of purchase consideration over the fair value of net identifiable assets is recorded as goodwill. The determination of fair values, particularly for intangible assets, requires significant estimates and assumptions about future events and market conditions.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2025, we completed the acquisition of Hupu, a leading sports media and data platform in China, which resulted in the recognition of identifiable intangible assets totaling approximately US$29.7 million, comprised of customer relationships of approximately US$17.4 million, brand name of approximately US$10.0 million, and technology of approximately US$2.3 million. The remaining excess of purchase consideration over the fair value of the net identifiable assets acquired was recorded as goodwill of approximately US$38.5 million.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used the multi-period excess earnings method to estimate the fair value of acquired customer relationships, which was determined as the present value of the excess earnings attributable to the asset after deducting returns on contributory assets, at a discount rate of 19.5%. For the acquired brand name and technology, the relief-from-royalty method was applied, using royalty rates of 5.0% and 3.0%, respectively, and the fair values were estimated as the present value of the after-tax royalty savings at discount rates of 19.5%. Other key assumptions included forecasted revenue growth rates ranging from 2.0% to 6.8% and a customer attrition rate of approximately 10.0% per annum for the customer relationships. We engaged an independent valuation firm to assist with these determinations. Changes in these assumptions could materially affect the fair values of the acquired intangible assets and resulting goodwill, and could also affect future amortization charges and impairment assessments.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2(c), 3, and 12 to our consolidated financial statements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assessment of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as of December 31, or more frequently if events or circumstances indicate potential impairment. For each reporting unit, we may elect to first assess qualitative factors to determine whether it is more likely than not that fair value is less than carrying amount, or we may proceed directly to a quantitative test. Under the quantitative test, the reporting unit’s estimated fair value is compared to its carrying amount, and an impairment loss is recognized to the extent carrying amount exceeds fair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goodwill balance of approximately US$39.2 million was entirely attributable to the acquisition of Hupu. We determined that Hupu constitutes a single reporting unit and performed a quantitative impairment assessment using a discounted cash flow model based on cash flow projections over a five-year forecast period. Significant assumptions included:</w:t>
      </w:r>
    </w:p>
    <w:p>
      <w:pPr>
        <w:spacing w:after="0" w:line="172" w:lineRule="exact"/>
        <w:rPr>
          <w:sz w:val="20"/>
          <w:szCs w:val="20"/>
          <w:color w:val="auto"/>
        </w:rPr>
      </w:pPr>
    </w:p>
    <w:p>
      <w:pPr>
        <w:jc w:val="both"/>
        <w:ind w:left="1000" w:hanging="317"/>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forecasts: </w:t>
      </w:r>
      <w:r>
        <w:rPr>
          <w:rFonts w:ascii="Times New Roman" w:cs="Times New Roman" w:eastAsia="Times New Roman" w:hAnsi="Times New Roman"/>
          <w:sz w:val="18"/>
          <w:szCs w:val="18"/>
          <w:color w:val="auto"/>
        </w:rPr>
        <w:t>3.7%-4.6% over the forecast period, developed based on Hupu’s historical operating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trends in the online advertising market, and management’s expectations regarding user engagement initiatives and business synergies with us;</w:t>
      </w:r>
    </w:p>
    <w:p>
      <w:pPr>
        <w:spacing w:after="0" w:line="170" w:lineRule="exact"/>
        <w:rPr>
          <w:rFonts w:ascii="Times New Roman" w:cs="Times New Roman" w:eastAsia="Times New Roman" w:hAnsi="Times New Roman"/>
          <w:sz w:val="18"/>
          <w:szCs w:val="18"/>
          <w:color w:val="auto"/>
        </w:rPr>
      </w:pPr>
    </w:p>
    <w:p>
      <w:pPr>
        <w:ind w:left="1000" w:hanging="317"/>
        <w:spacing w:after="0" w:line="28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margins: </w:t>
      </w:r>
      <w:r>
        <w:rPr>
          <w:rFonts w:ascii="Times New Roman" w:cs="Times New Roman" w:eastAsia="Times New Roman" w:hAnsi="Times New Roman"/>
          <w:sz w:val="18"/>
          <w:szCs w:val="18"/>
          <w:color w:val="auto"/>
        </w:rPr>
        <w:t>31.5%-33.1% over the forecast period, based on Hupu’s historical cost structure and anticipated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efficiencies;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Discount rate: </w:t>
      </w:r>
      <w:r>
        <w:rPr>
          <w:rFonts w:ascii="Times New Roman" w:cs="Times New Roman" w:eastAsia="Times New Roman" w:hAnsi="Times New Roman"/>
          <w:sz w:val="18"/>
          <w:szCs w:val="18"/>
          <w:color w:val="auto"/>
        </w:rPr>
        <w:t>A weighted average cost of capital (“WACC”) of 19.0%, estimated using market participant data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analysis of comparable companies in the technology, media, and telecommunications sector, reflecting the risk profile of Hupu’s expected cash flows;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8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Terminal growth rate: </w:t>
      </w:r>
      <w:r>
        <w:rPr>
          <w:rFonts w:ascii="Times New Roman" w:cs="Times New Roman" w:eastAsia="Times New Roman" w:hAnsi="Times New Roman"/>
          <w:sz w:val="18"/>
          <w:szCs w:val="18"/>
          <w:color w:val="auto"/>
        </w:rPr>
        <w:t>2.0%, determined with reference to the long-term expected inflation rate in the People’s Republic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China.</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estimated fair value exceeded carrying amount by approximately 7.5%, indicating that Hupu’s goodwill is at heightened risk of future impairment. The fair value would approximate carrying amount under either of the following scenarios, with all other assumptions held constant: (i) an increase in the discount rate of approximately 1.5 percentage points, or (ii) a reduction in projected revenue growth rates of approximately 2.0 percentage points. Because the acquisition was completed only seven months prior to the testing date, cash flow projections are based on limited operating history under our ownership and are inherently uncertain.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our market capitalization was below our consolidated net book value as of December 31, 2025, we also performed a reconciliation of the aggregate estimated fair values of our reporting units to our market capitalization. Based on the impairment test and reconciliation, we concluded that no goodwill impairment was recognized for the year ended December 31, 2025. Changes in circumstances or assumptions — including revenue or margin underperformance, adverse market conditions, or unfavorable changes in discount rates — could cause the estimated fair value to decline below carrying amount and result in a material impairment charge in future periods.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performed an annual qualitative impairment assessment for the goodwill relating to the Group as a whole, an impairment of US$20.7 million was made for the year ended December 31,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2 (k) and 13 to the consolidated financial statements for information regarding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680" w:hanging="672"/>
        <w:spacing w:after="0"/>
        <w:tabs>
          <w:tab w:leader="none" w:pos="6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Age</w:t>
            </w:r>
          </w:p>
        </w:tc>
        <w:tc>
          <w:tcPr>
            <w:tcW w:w="540" w:type="dxa"/>
            <w:vAlign w:val="bottom"/>
          </w:tcPr>
          <w:p>
            <w:pPr>
              <w:spacing w:after="0"/>
              <w:rPr>
                <w:sz w:val="20"/>
                <w:szCs w:val="20"/>
                <w:color w:val="auto"/>
              </w:rPr>
            </w:pP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Jinbo Li</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Yubo Zhang</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Shi</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Hui Duan</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Xiaosong Li</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Jenny Wenjie Wu</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 Huang</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Naijiang (Eric) Zhou</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6"/>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138</w:t>
            </w:r>
          </w:p>
        </w:tc>
        <w:tc>
          <w:tcPr>
            <w:tcW w:w="2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Jinbo Li </w:t>
      </w:r>
      <w:r>
        <w:rPr>
          <w:rFonts w:ascii="Times New Roman" w:cs="Times New Roman" w:eastAsia="Times New Roman" w:hAnsi="Times New Roman"/>
          <w:sz w:val="18"/>
          <w:szCs w:val="18"/>
          <w:color w:val="auto"/>
        </w:rPr>
        <w:t>has been our chairman and chief executive officer since April 2020. Mr. Li is a successful serial entrepreneur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20 years’ experience in China’s internet and technology industry. Mr. Li was part of Xunlei’s founding team and contributed to establishing and leading the core R&amp;D team during the crucial early stage of Xunlei from 2004 to 2009. Mr. Li left Xunlei in January 2010 and acted as the chief executive officers of two internet ventures from 2010 to 2014. Mr. Li founded Itui International Inc., a company focusing on developing mobile applications for social networking services, in 2014 and acted as its chairman and chief executive officer since then. Mr. Li received his bachelor’s degree in 1998 from Shandong University in China and master’s degree in 2001 from Peking University in China.</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Yubo Zhang </w:t>
      </w:r>
      <w:r>
        <w:rPr>
          <w:rFonts w:ascii="Times New Roman" w:cs="Times New Roman" w:eastAsia="Times New Roman" w:hAnsi="Times New Roman"/>
          <w:sz w:val="18"/>
          <w:szCs w:val="18"/>
          <w:color w:val="auto"/>
        </w:rPr>
        <w:t>has been serving as our president since April 2020. Prior to rejoining us in April 2020, Mr. Zhang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Beijing Nesound International Media Corp, Ltd., or Nesound, from April 2015 to April 2020. During his tenure at Nesound, Mr. Zhang combined the respective advantages of live broadcasting and traditional film &amp; television businesses and built a multifaceted platform incorporating self-produced exclusive content, star development plans and Internet services. Mr. Zhang joined our company for the first time in August 2005 and was one of the core founding members of our company. During his ten years with us, Mr. Zhang served various management positions including a senior vice president of our company and the president of a major subsidiary of our company from August 2005 to March 2015. Mr. Zhang received his bachelor’s degree in mechanical design and manufacturing from Jilin University of Technology in China in 1999.</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Peng Shi </w:t>
      </w:r>
      <w:r>
        <w:rPr>
          <w:rFonts w:ascii="Times New Roman" w:cs="Times New Roman" w:eastAsia="Times New Roman" w:hAnsi="Times New Roman"/>
          <w:sz w:val="18"/>
          <w:szCs w:val="18"/>
          <w:color w:val="auto"/>
        </w:rPr>
        <w:t>has been serving as a director of our company since April 2020. Mr. Shi has also been serving as the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at Beijing Itui Technology Co., Ltd since March 2018. Prior to join Beijing Itui, Mr. Shi served as the general manager at Qutoutiao Inc. Beijing branch from January 2018 to March 2018, the product director of Toutiao.com, a Chinese news and information content platform operated by Beijing Bytedance Technology Co., Ltd, from 2016 to 2017, the product vice president of Quanmin.tv, a live-streaming platform operated by Shanghai Maimiao Information Technology Co., Ltd. from 2015 to 2016, the senior product officer of UCWeb Inc from May 2014 to June 2015, a senior product manager at Baidu, Inc. from April 2013 to May 2014, and a product manager at Qihoo 360 Technology Co., Ltd. from March 2010 to April 2013. Mr. Shi received his bachelor’s degree in software engineering from Beihai College of Beihang University in China in 2011.</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Hui Duan </w:t>
      </w:r>
      <w:r>
        <w:rPr>
          <w:rFonts w:ascii="Times New Roman" w:cs="Times New Roman" w:eastAsia="Times New Roman" w:hAnsi="Times New Roman"/>
          <w:sz w:val="18"/>
          <w:szCs w:val="18"/>
          <w:color w:val="auto"/>
        </w:rPr>
        <w:t>had served as a director of our company from April 2020 to September 2023 and was reelected to our board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2024. Mr. Duan currently serves as the chief technology officer of Beijing Itui Technology Co., Ltd. Prior to that, Mr. Duan founded his own company that provided SaaS tools and services from October 2015 to 2017. From April 2008 to April 2015, Mr. Duan served in various management positions at Xunlei including vice president and the chief executive officer of a major subsidiary of Xunlei. Mr. Duan received his EMBA degree from China Europe International Business School in 2015 and his bachelor’s degree in computer science from Peking University in 2001.</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Xiaosong Li </w:t>
      </w:r>
      <w:r>
        <w:rPr>
          <w:rFonts w:ascii="Times New Roman" w:cs="Times New Roman" w:eastAsia="Times New Roman" w:hAnsi="Times New Roman"/>
          <w:sz w:val="18"/>
          <w:szCs w:val="18"/>
          <w:color w:val="auto"/>
        </w:rPr>
        <w:t>had served as a director of our company since September 2024. Mr. Li has been serving as the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AGI Business at Xunlei since December 2023. From March 2018 to November 2023, he held the position of technology partner at Beijing Itui Technology Co., Ltd., where he was responsible for leading research and development in the field of artificial intelligence. From March 2008 to March 2018, he gained valuable experience working at Baidu Search Ads (Phoenix Nest), where he progressively advanced his career and ultimately served as the chief architect. He obtained a bachelor’s degree in software engineering from Northwestern Polytechnical University in 2005 and a master’s degree in computer system architecture from Chinese Academy of Sciences in 2008.</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Wenjie Wu </w:t>
      </w:r>
      <w:r>
        <w:rPr>
          <w:rFonts w:ascii="Times New Roman" w:cs="Times New Roman" w:eastAsia="Times New Roman" w:hAnsi="Times New Roman"/>
          <w:sz w:val="18"/>
          <w:szCs w:val="18"/>
          <w:color w:val="auto"/>
        </w:rPr>
        <w:t>is currently the president of Approaching.AI and has been serving as our independent director since June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is currently also an independent non-executive director of Kingsoft Corporation Limited (3888.HK) and an independent non-executive Director of Dida Inc. (Stock Code: 02559). Ms. Wu served as an independent non-executive Director of Aquila Acquisition Corporation (Stock Code: 07836) from February 2024 to March 2025. Since 2003, Ms. Wu served as the chief investment officer of New Hope Group, the founding and managing partner of Baidu Capital, deputy chief financial officer, chief financial officer and chief strategy officer of Ctrip.com, a company listed on NASDAQ (ticker: CTRP), an equity research analyst covering China internet and media industries in Morgan Stanley Asia Limited and in Citigroup Global Markets Asia Limited, and Manager of Operation Department in China Merchants Holdings (International) Company Limited, a company listed on the Stock Exchange (stock code: 0144) in sequence. Ms. Wu has a Ph.D. degree in Finance from the University of Hong Kong, a master’s degree in Finance from the Hong Kong University of Science and Technology, and both a master’s degree and a bachelor’s degree in Economics from Nankai University, China. Ms. Wu has been a Chartered Financial Analyst (CFA) since 2004.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He Huang </w:t>
      </w:r>
      <w:r>
        <w:rPr>
          <w:rFonts w:ascii="Times New Roman" w:cs="Times New Roman" w:eastAsia="Times New Roman" w:hAnsi="Times New Roman"/>
          <w:sz w:val="18"/>
          <w:szCs w:val="18"/>
          <w:color w:val="auto"/>
        </w:rPr>
        <w:t>had served as a director of our company since November 2024. Mr. Huang founded and has served 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Beijing Duwo Technology Co., Ltd., an online education company operated under the brand name of Ipalfish, since 2015. He received a bachelor’s degree in computer science and a master’s degree in the same field from Beijing University of Technology in 2000 and 2003,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Naijiang (Eric) Zhou </w:t>
      </w:r>
      <w:r>
        <w:rPr>
          <w:rFonts w:ascii="Times New Roman" w:cs="Times New Roman" w:eastAsia="Times New Roman" w:hAnsi="Times New Roman"/>
          <w:sz w:val="18"/>
          <w:szCs w:val="18"/>
          <w:color w:val="auto"/>
        </w:rPr>
        <w:t>has been serving as our chief financial officer since September 2017. Mr. Zhou has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covering corporate finance, financial planning and analysis, and investment research and management in the U.S. and China. Prior to joining Xunlei, Mr. Zhou was an interim chief financial officer and senior vice president at ChinaCache International Holdings Limited. Previously, Mr. Zhou had served in various roles, including the chief financial officer at Sutor Technology Group Limited, an equity research analyst at Roth Capital Partners, a principal financial planner at American Electric Power and a senior research analyst at U.S. Global Investors. He obtained a bachelor’s degree with honors in Petroleum Management Engineering from China Petroleum University, and both MBA in Finance and Ph.D. in Interdisciplinary Energy and Mineral Resources from the University of Texas at Austin. Mr. Zhou is a CFA charter holder.</w:t>
      </w:r>
    </w:p>
    <w:p>
      <w:pPr>
        <w:spacing w:after="0" w:line="183"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approximately US$1.3 million in cash to our executive officers, and we paid approximately US$0.2 million in cash compensation to our non-executive directors. In addition, we paid approximately US$0.3 million in pension, housing funds, transportation subsidies and commercial insurance to our executive officers, and we did not set aside or accrued any amount to provide such benefits to our non-executive directors. For share incentive grants to our officers and directors under our share incentive plan and restricted share grants outside the share incentive plan, see “—Share Incentive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2020, our board of directors approved the termination of the 2010 share incentive plan, the 2013 share incentive plan and the 2014 share incentive plan, or collectively, the Terminated Plans, and adopted a 2020 share incentive plan, or the 2020 Plan. The awards that were granted and outstanding under the Terminated Plans and the evidencing original award agreements survived the termination of the Terminated Plans and remain effective and binding under the 2020 Plan.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2023, our board of directors amended and restated the 2020 Plan to expand the award pool of 31,000,000 common shares to 46,561,200 common shares, which consist of (i) 25,228,430 common shares underlying the 5,045,686 ADSs repurchased pursuant to our repurchase programs, (ii) 10,150,313 common shares reserved for issuance, which were previously reserved but not granted under our Terminated Plans, (iii) 10,889,429 common shares, which were previously reserved but not granted under our Terminated Plans, held by Leading Advice Holding Limited, a share incentive awards holding platform, and (iv) 293,028 common shares reserved for issuance under the 2020 Plan.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26, 2024, our board of directors further amended and restated its amended and restated the 2020 Plan to expand the award pool of 46,561,200 common shares to 61,525,345 shares. The 14,964,145 common shares added to the 2020 Plan were from the 2,992,829 ADS we repurchased under the share repurchase program adopted in March 2023.</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9,163,550 restricted share units were granted and outstanding under the 2020 Plan. The following paragraphs summarize the terms of the 2020 Plan.</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color w:val="auto"/>
        </w:rPr>
        <w:t>. The 2020 Plan permits the awards of option, restricted share, restricted share unit or other types of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the committee or the board.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The 2020 Plan shall be administered by the board or the compensation committee of the board to whom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shall delegate the authority to grant or amend awards to participants other than any of the compensation committee members and independent directors.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Options, restricted shares, or restricted share units granted under the Amended and Restated 2020 Plan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evidenced by an award agreement that sets forth the terms, conditions, and limitations for each grant.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Option exercise price</w:t>
      </w:r>
      <w:r>
        <w:rPr>
          <w:rFonts w:ascii="Times New Roman" w:cs="Times New Roman" w:eastAsia="Times New Roman" w:hAnsi="Times New Roman"/>
          <w:sz w:val="18"/>
          <w:szCs w:val="18"/>
          <w:color w:val="auto"/>
        </w:rPr>
        <w:t>. The exercise price per share subject to an option shall be determined by the compensation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in the award agreement. The exercise price may be amended or adjusted in the absolute discretion of the compensation committee, the determination of which shall be final, binding and conclusive.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We may grant awards to our employees, consultants and all members of our board of directors, as determined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set forth in the award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Except as otherwise provided by the committee or pursuant to the Amended and Restated 2020 Plan,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shall be assigned, transferred, or otherwise disposed of other than by will or the laws of descent and distribution.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terminated earlier, the 2020 Plan will expire automatically in June 2030. At any time and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time, our board of directors may terminate, amend or modify the 2020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to the extent necessary and desirable to comply with applicable laws or stock exchange rules, shareholder approval is required for any amendment in such a manner and to such a degree as required, unless we decide to follow home country practice, and (b) unless we decide to follow home country practice, shareholder approval is required for any amendment to the 2020 Plan that (i) increases the number of shares available under the 2020 Plan, or (ii) permits the committee to extend the term of the 2020 Plan or the exercise period for an option beyond ten years from the date of grant.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awards granted to our executive officers and directors under our stock incentive plans that are outstanding and excludes awards that were forfeited or canceled as of March 31,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4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Date of expiration</w:t>
            </w:r>
          </w:p>
        </w:tc>
        <w:tc>
          <w:tcPr>
            <w:tcW w:w="0" w:type="dxa"/>
            <w:vAlign w:val="bottom"/>
          </w:tcPr>
          <w:p>
            <w:pPr>
              <w:spacing w:after="0"/>
              <w:rPr>
                <w:sz w:val="1"/>
                <w:szCs w:val="1"/>
                <w:color w:val="auto"/>
              </w:rPr>
            </w:pPr>
          </w:p>
        </w:tc>
      </w:tr>
      <w:tr>
        <w:trPr>
          <w:trHeight w:val="175"/>
        </w:trPr>
        <w:tc>
          <w:tcPr>
            <w:tcW w:w="4160" w:type="dxa"/>
            <w:vAlign w:val="bottom"/>
            <w:gridSpan w:val="2"/>
            <w:vMerge w:val="continue"/>
          </w:tcPr>
          <w:p>
            <w:pPr>
              <w:spacing w:after="0"/>
              <w:rPr>
                <w:sz w:val="15"/>
                <w:szCs w:val="15"/>
                <w:color w:val="auto"/>
              </w:rPr>
            </w:pPr>
          </w:p>
        </w:tc>
        <w:tc>
          <w:tcPr>
            <w:tcW w:w="15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​​​share units awarded </w:t>
            </w:r>
            <w:r>
              <w:rPr>
                <w:rFonts w:ascii="Times New Roman" w:cs="Times New Roman" w:eastAsia="Times New Roman" w:hAnsi="Times New Roman"/>
                <w:sz w:val="20"/>
                <w:szCs w:val="20"/>
                <w:b w:val="1"/>
                <w:bCs w:val="1"/>
                <w:color w:val="auto"/>
                <w:vertAlign w:val="superscript"/>
              </w:rPr>
              <w:t>(1)</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(US$/share)  ​​​</w:t>
            </w:r>
          </w:p>
        </w:tc>
        <w:tc>
          <w:tcPr>
            <w:tcW w:w="134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Jinbo Li</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6,693,040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May 25, 2021</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Yubo Zhang</w:t>
            </w:r>
          </w:p>
        </w:tc>
        <w:tc>
          <w:tcPr>
            <w:tcW w:w="15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6,693,040</w:t>
            </w:r>
          </w:p>
        </w:tc>
        <w:tc>
          <w:tcPr>
            <w:tcW w:w="14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May 25, 2021</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9,725,750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Naijiang (Eric) Zhou</w:t>
            </w:r>
          </w:p>
        </w:tc>
        <w:tc>
          <w:tcPr>
            <w:tcW w:w="15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800,000</w:t>
            </w:r>
          </w:p>
        </w:tc>
        <w:tc>
          <w:tcPr>
            <w:tcW w:w="14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2018</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Jenny Wenjie Wu</w:t>
            </w:r>
          </w:p>
        </w:tc>
        <w:tc>
          <w:tcPr>
            <w:tcW w:w="15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June 23, 2014</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2018</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29, 2021</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Peng Shi</w:t>
            </w:r>
          </w:p>
        </w:tc>
        <w:tc>
          <w:tcPr>
            <w:tcW w:w="15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600,000</w:t>
            </w:r>
          </w:p>
        </w:tc>
        <w:tc>
          <w:tcPr>
            <w:tcW w:w="14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2021</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1,800,000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6, 2025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Xiaosong Li</w:t>
            </w:r>
          </w:p>
        </w:tc>
        <w:tc>
          <w:tcPr>
            <w:tcW w:w="15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500,000</w:t>
            </w:r>
          </w:p>
        </w:tc>
        <w:tc>
          <w:tcPr>
            <w:tcW w:w="14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2024</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1,300,000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6, 2025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The number in this column does not include the common shares issued to the grantee upon vesting of restricted shares.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our employees other than directors and executive officers as a group held 6,196,885 outstanding restricted shares and restricted share units that remain unvested. These restricted shares and restricted share units were granted on various dates between June 2023 and March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senior executive officers. We may terminate a senior executive officer’s employment for cause at any time by giving written notice for certain acts of the officer, including: (i) conviction of a felony or act of fraud, misappropriation or embezzlement; (ii) gross negligence or dishonest to the detriment of our company; and (iii) material breach of the employment agreement. We may also terminate a senior executive officer’s employment upon at least two months’ prior written notice. A senior executive officer may terminate his or her employment by giving two-month or three-month prior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senior executive officer has agreed that he or she shall not, at any time during the period of employment or after the termination of the period of employment, except for the benefit of our company, use or disclose any confidential information to any person, corporation or other entity without our written consent. Upon termination of the employment or at any other time when requested by us, the officer should promptly deliver to our company all documents and materials of any nature pertaining to his or her work with us and should provide written certification of his or her compliance with the employment agreement. Under no circumstances can the officer, following his or her termination, in his or her possession any property of our company, or any documents or materials containing any confidential information. The officer should not, during the employment term, (i) improperly use or disclose any proprietary information or trade secrets of any former employer or other person or entity with which the officer has a duty to keep in confidence information acquired by such officer, if any, or (ii) bring into the premises of our company any document or confidential or proprietary information belonging to the former employer unless consented to in writing by such employer. The officer will indemnify us and hold us harmless from and against all claims, liabilities, damages and expenses.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officer also agrees that during the term of employment and within one year of termination of employment, he or she will not approach clients, customers or contacts of our company or other persons or entities introduced to such officer in his/her capacity as a representative of our company for the purposes of doing business with such persons or entities which will harm the business relationship between our company and such persons or entities. Unless consented to by us, the officer should not assume employment with or provide services as a director or otherwise for any of our competitors, or engage in any competitor as a principal, partner, licensor or otherwise. The officer will not seek, directly or indirectly, by the offer of alternative employment or other inducement whatsoever, to solicit the services of any of our employees as at or after the date of the termination of such officer’s employment, or in the year preceding such termination.</w:t>
      </w:r>
    </w:p>
    <w:p>
      <w:pPr>
        <w:spacing w:after="0" w:line="188" w:lineRule="exact"/>
        <w:rPr>
          <w:sz w:val="20"/>
          <w:szCs w:val="20"/>
          <w:color w:val="auto"/>
        </w:rPr>
      </w:pPr>
    </w:p>
    <w:p>
      <w:pPr>
        <w:ind w:left="680" w:hanging="672"/>
        <w:spacing w:after="0"/>
        <w:tabs>
          <w:tab w:leader="none" w:pos="6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consists of seven directors. A director is not required to hold any shares in our company to qualify to serve as a director. All the powers of our company to borrow money and to mortgage or charge its undertaking, property and uncalled capital, or any part thereof and to issue debentures, debenture stock and other securities whenever money is borrowed or as a security for any debt, liability or obligation of our company or any third party, may only be carried out jointly by our chief executive officer and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Jenny Wenjie Wu and Mr. He Huang, and is chaired by Ms. Jenny Wenjie Wu. Our board of directors has determined that each of Ms. Jenny Wenjie Wu and Mr. He Huang satisfies the “independence” requirements of Rule 10A-3 under the Securities Exchange Act of 1934, as amended, and Rule 5605(a)(2) of the Nasdaq Listing Rules. The audit committee oversees our accounting and financial reporting processes and the audits of the financial statements of our company. The audit committee is responsible for, among other things:</w:t>
      </w:r>
    </w:p>
    <w:p>
      <w:pPr>
        <w:spacing w:after="0" w:line="183" w:lineRule="exact"/>
        <w:rPr>
          <w:sz w:val="20"/>
          <w:szCs w:val="20"/>
          <w:color w:val="auto"/>
        </w:rPr>
      </w:pPr>
    </w:p>
    <w:p>
      <w:pPr>
        <w:ind w:left="1000" w:right="2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significant matters or difficulties encountered by the external auditors during the course of their audits and management’s response;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matters as to the adequacy of our internal controls and any special procedures adopted by the external auditors in light of material control deficiencies;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Ms. Jenny Wenjie Wu, Mr. He Huang and Mr. Jinbo Li, and is chaired by Mr. Jinbo Li. Our board of directors has determined that each of Ms. Jenny Wenjie Wu and Mr. He Huang satisfies the “independence” requirements of Rule 5605(a)(2) of the Nasdaq Listing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60" w:lineRule="exact"/>
        <w:rPr>
          <w:sz w:val="20"/>
          <w:szCs w:val="20"/>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total compensation package for our two most senior executives and making recommendations to the board with respect to it;</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two most senior executives;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 and</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Jenny Wenjie Wu, Mr. He Huang and Mr. Yubo Zhang, and is chaired by Mr. Yubo Zhang. Our board of directors has determined that each of Ms. Jenny Wenjie Wu and Mr. He Huang satisfies the “independence” requirements of Rule 5605(a)(2) of the Nasdaq Listing Rules.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43" w:lineRule="exact"/>
        <w:rPr>
          <w:sz w:val="20"/>
          <w:szCs w:val="20"/>
          <w:color w:val="auto"/>
        </w:rPr>
      </w:pPr>
    </w:p>
    <w:p>
      <w:pPr>
        <w:ind w:left="1000" w:hanging="31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3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from time to time. Our company may have the right to seek damages if a duty owed by our directors is breached. A shareholder may in certain circumstances have rights to damages if a duty owed by the directors is breached.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directors may be elected by an ordinary resolution of our shareholders, or by the affirmative vote of a simple majority of our directors (which should include one non-independent director) present and voting at a meeting of our board of directors, and shall hold office until the expiration of his term and until his successor has been elected and qualified, or until such time as they are removed from office by ordinary resolution or the unanimous written resolution of all shareholders. A director will be removed from office automatically (i) if a simple majority of all directors determine at a duly called and constituted board meeting that such director has been guilty of actual fraud or willful neglect in performing his duties as a director, or (ii) if a director is notified of, and fails to attend, an aggregate of three duly called and constituted board meetings within any 365-day period. In addition, the office of a director will be vacated if such director (a) dies, becomes bankrupt or makes any arrangement or composition with his creditors, (b) is found to be or becomes of unsound mind, or (c) resigns his office by notice in writing to us.</w:t>
      </w:r>
    </w:p>
    <w:p>
      <w:pPr>
        <w:spacing w:after="0" w:line="184" w:lineRule="exact"/>
        <w:rPr>
          <w:sz w:val="20"/>
          <w:szCs w:val="20"/>
          <w:color w:val="auto"/>
        </w:rPr>
      </w:pPr>
    </w:p>
    <w:p>
      <w:pPr>
        <w:ind w:left="680" w:hanging="672"/>
        <w:spacing w:after="0"/>
        <w:tabs>
          <w:tab w:leader="none" w:pos="6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2024 and 2025, we had 1,215, 1,216 and 1,306 employees, respectively. The following table sets forth the number of our employees by function as of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administration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PRC regulations, we participate in employee benefit plans organized by government authorities, including pensions, work-related injury benefits, medical benefits, maternity benefits, unemployment benefit and housing fund plans. We have granted stock options and restricted shares to management and key employees in order to reward their services and provide them with equity incentives. We maintain good employee relations.</w:t>
      </w:r>
    </w:p>
    <w:p>
      <w:pPr>
        <w:spacing w:after="0" w:line="176"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officers, see “Item 7. Major Shareholders and Related Party Transactions—A. Major Shareholders.” For information as to stock options granted to our directors, executive officers and other employees, see “Item 6. Directors, Senior Management and Employees—B. Compensation—Share Incentive Plan.”</w:t>
      </w:r>
    </w:p>
    <w:p>
      <w:pPr>
        <w:spacing w:after="0" w:line="172" w:lineRule="exact"/>
        <w:rPr>
          <w:sz w:val="20"/>
          <w:szCs w:val="20"/>
          <w:color w:val="auto"/>
        </w:rPr>
      </w:pPr>
    </w:p>
    <w:p>
      <w:pPr>
        <w:ind w:left="660" w:right="2820" w:hanging="652"/>
        <w:spacing w:after="0" w:line="537" w:lineRule="auto"/>
        <w:tabs>
          <w:tab w:leader="none" w:pos="64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680" w:hanging="672"/>
        <w:spacing w:after="0"/>
        <w:tabs>
          <w:tab w:leader="none" w:pos="6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shares as of March 31, 2026 held by:</w:t>
      </w:r>
    </w:p>
    <w:p>
      <w:pPr>
        <w:spacing w:after="0" w:line="162" w:lineRule="exact"/>
        <w:rPr>
          <w:sz w:val="20"/>
          <w:szCs w:val="20"/>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common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Percentage of beneficial ownership is based on 318,268,921 total outstanding common shares as of March 31, 2026, excluding</w:t>
      </w:r>
    </w:p>
    <w:p>
      <w:pPr>
        <w:spacing w:after="0" w:line="27" w:lineRule="exact"/>
        <w:rPr>
          <w:sz w:val="20"/>
          <w:szCs w:val="20"/>
          <w:color w:val="auto"/>
        </w:rPr>
      </w:pPr>
    </w:p>
    <w:p>
      <w:pPr>
        <w:jc w:val="both"/>
        <w:ind w:firstLine="8"/>
        <w:spacing w:after="0" w:line="253" w:lineRule="auto"/>
        <w:tabs>
          <w:tab w:leader="none" w:pos="2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45,843,590 common shares that are reserved for bulk issuance upon the exercise or vesting of awards granted under our share incentive plan, or repurchased by our company but not yet canceled, and (ii) 10,889,429 common shares, consisting of 2,177,885 ADSs (representing 10,889,425 common shares) and 4 common shares held by Leading Advice Holding Limited, a share incentive awards holding platform).</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In computing the number of shares beneficially owned by a person and the percentage ownership of that person, we have included shares that the person has the right to acquire within 60 days of March 31, 2026, including through the exercise of any option, warrant or other right or the conversion of any other security, in both the numerator and the denominator. These shares, however, are not included in the computation of the percentage ownership of any other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94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48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Common Shares Beneficially Owned</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940" w:type="dxa"/>
            <w:vAlign w:val="bottom"/>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Jinbo Li</w:t>
            </w:r>
            <w:r>
              <w:rPr>
                <w:rFonts w:ascii="Times New Roman" w:cs="Times New Roman" w:eastAsia="Times New Roman" w:hAnsi="Times New Roman"/>
                <w:sz w:val="25"/>
                <w:szCs w:val="25"/>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139,711,519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Yubo Zhang</w:t>
            </w:r>
            <w:r>
              <w:rPr>
                <w:rFonts w:ascii="Times New Roman" w:cs="Times New Roman" w:eastAsia="Times New Roman" w:hAnsi="Times New Roman"/>
                <w:sz w:val="25"/>
                <w:szCs w:val="25"/>
                <w:color w:val="auto"/>
                <w:vertAlign w:val="superscript"/>
              </w:rPr>
              <w:t>(2)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16,506,460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Peng Shi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Jenny Wenjie Wu</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Hui Duan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Xiaosong Li</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 Huang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Naijiang (Eric) Zhou</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group</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158,144,294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Itui International Inc.</w:t>
            </w:r>
            <w:r>
              <w:rPr>
                <w:rFonts w:ascii="Times New Roman" w:cs="Times New Roman" w:eastAsia="Times New Roman" w:hAnsi="Times New Roman"/>
                <w:sz w:val="25"/>
                <w:szCs w:val="25"/>
                <w:color w:val="auto"/>
                <w:vertAlign w:val="superscript"/>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133,018,479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Sean Shenglong Zou</w:t>
            </w:r>
            <w:r>
              <w:rPr>
                <w:rFonts w:ascii="Times New Roman" w:cs="Times New Roman" w:eastAsia="Times New Roman" w:hAnsi="Times New Roman"/>
                <w:sz w:val="25"/>
                <w:szCs w:val="25"/>
                <w:color w:val="auto"/>
                <w:vertAlign w:val="superscript"/>
              </w:rPr>
              <w:t>(4)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17,156,036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35" w:lineRule="exact"/>
        <w:rPr>
          <w:sz w:val="20"/>
          <w:szCs w:val="20"/>
          <w:color w:val="auto"/>
        </w:rPr>
      </w:pPr>
    </w:p>
    <w:p>
      <w:pPr>
        <w:jc w:val="both"/>
        <w:ind w:left="340" w:hanging="332"/>
        <w:spacing w:after="0" w:line="281" w:lineRule="auto"/>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addresses of Mr. Jinbo Li, Mr. Yubo Zhang, Mr. Naijiang (Eric) Zhou, Mr. Peng Shi, Ms. Jenny Wenjie Wu, Mr. Hui Duan and Mr. Xiaosong Li are 3709 Baishi Road, Nanshan District, Shenzhen, 518000, the People’s Republic of China. The business address of Mr. He Huang is Room 601, Jianxiang Building, 8 Qijiahuozi, Chaoyang District, Beijing, 100029, the People’s Republic of China.</w:t>
      </w:r>
    </w:p>
    <w:p>
      <w:pPr>
        <w:spacing w:after="0" w:line="177" w:lineRule="exact"/>
        <w:rPr>
          <w:sz w:val="20"/>
          <w:szCs w:val="20"/>
          <w:color w:val="auto"/>
        </w:rPr>
      </w:pPr>
    </w:p>
    <w:p>
      <w:pPr>
        <w:jc w:val="both"/>
        <w:ind w:left="340" w:hanging="332"/>
        <w:spacing w:after="0" w:line="275" w:lineRule="auto"/>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ownership is calculated by dividing the number of common shares beneficially owned by such person or group, including shares that such person or group has the right to acquire within 60 days of March 31, 2026, by the sum of (i) the total number of outstanding common shares as of March 31, 2026, and (ii) the number of common shares underlying share options, restricted shares, restricted share units and warrants held by such person or group that are exercisable within 60 days of March 31, 2026.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ind w:left="340" w:hanging="332"/>
        <w:spacing w:after="0" w:line="275" w:lineRule="auto"/>
        <w:tabs>
          <w:tab w:leader="none" w:pos="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Jinbo Li, through his holding vehicle, owns 14.4% of the total outstanding shares (equal to 45.7% of the total voting power of all outstanding shares) of Itui International Inc., which in turn owns 101,820,239 common shares and 6,239,648 ADSs of our company. In addition, 6,693,040 common shares are beneficially owned by Mr. Li. By virtue of his controlling interest in Itui International Inc. and the common shares directly held by him in our company, Mr. Jinbo Li is deemed to beneficial own 139,711,519 common shares of our company.</w:t>
      </w:r>
    </w:p>
    <w:p>
      <w:pPr>
        <w:spacing w:after="0" w:line="18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16,506,460 common shares in the form of 3,301,292 ADSs directly held by Mr. Yubo Zhang.</w:t>
      </w:r>
    </w:p>
    <w:p>
      <w:pPr>
        <w:spacing w:after="0" w:line="234" w:lineRule="exact"/>
        <w:rPr>
          <w:rFonts w:ascii="Times New Roman" w:cs="Times New Roman" w:eastAsia="Times New Roman" w:hAnsi="Times New Roman"/>
          <w:sz w:val="16"/>
          <w:szCs w:val="16"/>
          <w:color w:val="auto"/>
        </w:rPr>
      </w:pPr>
    </w:p>
    <w:p>
      <w:pPr>
        <w:jc w:val="both"/>
        <w:ind w:left="340" w:hanging="332"/>
        <w:spacing w:after="0" w:line="267" w:lineRule="auto"/>
        <w:tabs>
          <w:tab w:leader="none" w:pos="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101,820,239 common shares and 6,239,648 ADSs held by Itui International Inc., a limited liability company incorporated under the laws of the Cayman Islands. Mr. Jinbo Li, our chairman and chief executive officer, through his holding vehicle, owns 14.4% of the total outstanding shares (equal to 45.7% of the total voting power of all outstanding shares) of Itui International Inc. Best Ventures Limited, formerly known as Xiaomi Ventures Limited, owns 16.3% of the total outstanding shares of Itui International Inc. and has a veto right in determining how the voting power of Itui International Inc. should be exercised when Itui International Inc. votes as a shareholder of our company on certain matters in relation to our company. As a result, Mr. Jinbo Li and Best Ventures Limited are deemed to be beneficial owners of, and share voting and dispositive power over, 101,820,239 common shares and 6,239,648 ADSs held by Itui International Inc. Best Ventures Limited is wholly owned by Xiaomi Corporation, a limited liability company organized under the laws of the Cayman Islands and listed on the Hong Kong Stock Exchange (Stock Code: 1810). The business address of Best Ventures Limited is Start Chambers, Wickham’s Cay II, P. O. Box 2221, Road Town, Tortola, British Virgin Islands. The business address of Itui International Inc. is Room 407, 4/F, Taixing Building, 11 Huayuan East Road, Haidian District, Beijing, the People’s Republic of China.</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71" w:lineRule="auto"/>
        <w:tabs>
          <w:tab w:leader="none" w:pos="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7,929,106 common shares (1,585,821 of which are represented by ADSs) directly held by Vantage Point Global Limited, a British Virgin Islands company, and (ii) 9,226,930 common shares (1,845,386 of which are represented by ADSs) directly held by Eagle Spirit LLC, a Delaware limited liability company. Vantage Point Global Limited is wholly owned by Choice &amp; Chance Limited, which is wholly owned by Mr. Zou with Mr. Zou as a director. Mr. Zou indirectly holds all voting and investment powers of Vantage Point Global Limited and its assets. Eagle Spirit LLC is wholly owned by a United States irrevocable trust with Mr. Zou as the settlor and Mr. Zou is the sole director of Eagle Spirit LLC. Mr. Zou indirectly holds the voting power and investment power of all of the common shares held by Eagle Spirit LLC.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our knowledge, as of March 31, 2026, 273,181,664 of our outstanding common shares were held by two record holders in the United States including 273,181,660 common shares held by JPMorgan Chase Bank, N.A., the depositary of our ADS program. The number of our common shares held by JPMorgan Chase Bank, N.A. include 10,889,425 common shares representing 2,177,885 ADSs held for purposes of our share incentive plan and 45,843,590 common shares (i) reserved for bulk issuance of ADSs for future issuance upon the exercise or vesting of awards granted under our share incentive plan, and (ii) repurchased by our company but not yet canceled. We are not aware of any arrangement that may, at a subsequent date, result in a change of control of our company.</w:t>
      </w:r>
    </w:p>
    <w:p>
      <w:pPr>
        <w:spacing w:after="0" w:line="143"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variable interest entities and their respective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current legal restrictions on foreign ownership and investment in value-added telecommunications services in China, we conduct our primarily operations in China principally through a series of contractual arrangements with the variable interest entities and their respective shareholders in China. For a description of these contractual arrangements, see “Item 4. Information on the Company— C. Organizational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framework agreement between Shenzhen Xunlei and Xunlei Computer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24, 2013, Shenzhen Xunlei and Xunlei Computer entered into a technology development and software license framework agreement. The term of the agreement is two years from the date of its execution.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this framework agreement, Xunlei Computer provides Shenzhen Xunlei with technology development services according to Shenzhen Xunlei’s business needs. Any new intellectual property resulting from the technology development services is owned by Xunlei Computer, and cannot be substituted or sub-licensed to any third party by Shenzhen Xunlei without the prior written consent of Xunlei Computer. During the term of the framework agreement, with respect to each technology development project, Shenzhen Xunlei and Xunlei Computer will separately sign technology development (services) agreements, which set out the specific terms and amount of consideration, all subject to the terms of the framework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under the framework agreement, Xunlei Computer grants Shenzhen Xunlei a non-exclusive and limited right to use certain specified proprietary software that Xunlei Computer owns. With respect to the licensing of each software, Shenzhen Xunlei and Xunlei Computer will separately sign software licensing agreements, which will set out the specific terms and the amount of licensing fee, all subject to the terms of the framework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relation to cooperation under the framework agreement, Xunlei Computer and Shenzhen Xunlei entered into four agreements in 2013 for Xunlei Computer’s technology development services and its software license and Giganology Shenzhen has agreed to the execution of these agreements and the relevant services and licenses between Xunlei Computer and Shenzhen Xunlei.</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aggregate amount of the fees that have been incurred by Shenzhen Xunlei for the technology development services and the software license provided by Xunlei Computer under the framework agreement was US$12.4 million, US$12.2 million and US$11.0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Xiaomi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Xunlei Accelerator Mobile Pre-installed Services Agreement. </w:t>
      </w:r>
      <w:r>
        <w:rPr>
          <w:rFonts w:ascii="Times New Roman" w:cs="Times New Roman" w:eastAsia="Times New Roman" w:hAnsi="Times New Roman"/>
          <w:sz w:val="18"/>
          <w:szCs w:val="18"/>
          <w:color w:val="auto"/>
        </w:rPr>
        <w:t>In 2014, we entered into a Xunlei Accelerator Mobile Pre-installed Services Agreement, or the Pre-installed Services Agreement, with Beijing Xiaomi Mobile Software Co., Ltd., or Beijing Xiaomi, a company controlled by one of our indirect shareholders, Best Ventures Limited. Under this agreement, Xiaomi phones were pre-installed with our mobile acceleration applications, and certain Xiaomi group companies agreed to share with us a portion of the advertising revenue generated through the pre-installed application as compensation for our technology solution services. The agreement has been renewed with different Xiaomi group companies over time and remains in effect. In 2025, we recognized a revenue of US$0.6 million from Shenzhen Xiaomi. As of December 31, 2025, the amount of outstanding revenue from Shenzhen Xiaomi was US$0.4 million.</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Computing Service Agreement. </w:t>
      </w:r>
      <w:r>
        <w:rPr>
          <w:rFonts w:ascii="Times New Roman" w:cs="Times New Roman" w:eastAsia="Times New Roman" w:hAnsi="Times New Roman"/>
          <w:sz w:val="18"/>
          <w:szCs w:val="18"/>
          <w:color w:val="auto"/>
        </w:rPr>
        <w:t>We entered into an agreement with Xiaomi Inc., in April 2019 and renewed every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provide cloud computing services at market prices based on the actual usage. Xiaomi Inc. is a company controlled by one of our indirect shareholders, Best Ventures Limited. In 2025, our total cloud computing service revenue was US$5.4 million from Xiaomi Inc. As of December 31, 2025, the amount of outstanding cloud computing service revenue was US$1.6 million from Xiaomi Inc.</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Xiaomi Mobile Terminal Pre-installation and Software License Agreement. </w:t>
      </w:r>
      <w:r>
        <w:rPr>
          <w:rFonts w:ascii="Times New Roman" w:cs="Times New Roman" w:eastAsia="Times New Roman" w:hAnsi="Times New Roman"/>
          <w:sz w:val="18"/>
          <w:szCs w:val="18"/>
          <w:color w:val="auto"/>
        </w:rPr>
        <w:t>In 2025, we entered into a terminal pre-installation and software license agreement with Shenzhen Xiaomi Information Technology Co., Ltd. (“Shenzhen Xiaomi”), a subsidiary of Xiaomi Corporation, pursuant to which we will pay Shenzhen Xiaomi a fee for each effective pre-installation of our software on certain Redmi device models. In 2025, we recognized pre-installation expenses of US$1.9 million from Shenzhen Xiaomi. As of December 31, 2025, no outstanding balance remained.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Itui International Inc.</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Services Agreement. </w:t>
      </w:r>
      <w:r>
        <w:rPr>
          <w:rFonts w:ascii="Times New Roman" w:cs="Times New Roman" w:eastAsia="Times New Roman" w:hAnsi="Times New Roman"/>
          <w:sz w:val="18"/>
          <w:szCs w:val="18"/>
          <w:color w:val="auto"/>
        </w:rPr>
        <w:t>In May 2020, we entered into a user traffic monetization agreement with Itui Online,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controlled by Itui, our largest shareholder. Pursuant to the agreement, Itui Online will be responsible for operating our advertising services and share a portion of revenue generated from placing advertisements on our PC websites and mobile platform. The agreement has a term of one year and is renewable on a yearly basis. In 2025, we recognized a net revenue of US$10.0 million from placing advertisements on our PC websites and mobile platform from Itui Online. As of December 31, 2025, the amount of outstanding advertising services revenue from Itui was US$10.4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Computing Service Agreement. </w:t>
      </w:r>
      <w:r>
        <w:rPr>
          <w:rFonts w:ascii="Times New Roman" w:cs="Times New Roman" w:eastAsia="Times New Roman" w:hAnsi="Times New Roman"/>
          <w:sz w:val="18"/>
          <w:szCs w:val="18"/>
          <w:color w:val="auto"/>
        </w:rPr>
        <w:t>We entered into an agreement with Beijing Itui Technology Co., Ltd. (“Beijing Itui”),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controlled by Itui, our largest shareholder, in July 2019 to provide cloud computing services at market prices. The agreement is renewed every year and the price may be adjusted semi-annually. In 2025, we generated cloud computing services revenue of US$93.1 thousand from Beijing Itui. As of December 31, 2025, the amount of outstanding cloud computing service revenue from Beijing Itui was US$86.5 thousand.</w:t>
      </w:r>
    </w:p>
    <w:p>
      <w:pPr>
        <w:spacing w:after="0" w:line="1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Agreement. </w:t>
      </w:r>
      <w:r>
        <w:rPr>
          <w:rFonts w:ascii="Times New Roman" w:cs="Times New Roman" w:eastAsia="Times New Roman" w:hAnsi="Times New Roman"/>
          <w:sz w:val="18"/>
          <w:szCs w:val="18"/>
          <w:color w:val="auto"/>
        </w:rPr>
        <w:t>In September 2021, we approved to provide a term loan in the amount of US$20.0 million to CHIZZ</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(HK) LIMITED, a company controlled by Itui, our largest shareholder. The loan has a term of two years and the interest of the loan is 3% per annum. In September 2023, the loan was extended for another two years and the interest of the loan is 5.1% per annum. Our audit committee had also approved the transaction. In September 2025, we approved a further extension of maturity date of the loan by additional two years, during which the annual interest rate will remain at 5.1%. Our audit committee had also approved the transaction. As of December 31, 2025, the term loan remained unpaid.</w:t>
      </w:r>
    </w:p>
    <w:p>
      <w:pPr>
        <w:spacing w:after="0" w:line="142" w:lineRule="exact"/>
        <w:rPr>
          <w:sz w:val="20"/>
          <w:szCs w:val="20"/>
          <w:color w:val="auto"/>
        </w:rPr>
      </w:pPr>
    </w:p>
    <w:p>
      <w:pPr>
        <w:ind w:left="680" w:hanging="672"/>
        <w:spacing w:after="0"/>
        <w:tabs>
          <w:tab w:leader="none" w:pos="6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02"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85" w:lineRule="exact"/>
        <w:rPr>
          <w:sz w:val="20"/>
          <w:szCs w:val="20"/>
          <w:color w:val="auto"/>
        </w:rPr>
      </w:pPr>
    </w:p>
    <w:p>
      <w:pPr>
        <w:ind w:left="680" w:hanging="672"/>
        <w:spacing w:after="0"/>
        <w:tabs>
          <w:tab w:leader="none" w:pos="6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involved in legal proceedings related to our business from time to time and expect to continue to be involved in such proceedings in the future. We are not presently a party to any legal proceedings that, if determined adversely to us, would individually or taken together have a material adverse effect on our business, results of operations, financial condition or cash flows. Internet services and content providers such as ours are frequently involved in litigation based on intellectual property-related claims. See “Item 3. Key Information—D. Risk Factors— Risks Related to Our Business—The intellectual property protection mechanism we have implemented may not always be effective or sufficient. Certain services we provide to our users have exposed us to and may continue to expose us to copyright infringement claims and other related claims. Any damage awards, injunctive relief and/or court orders could materially and adversely affect our existing business model, divert our management’s attention and adversely impact our business and reputation.”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previously declared or paid cash dividends. Subject to our ongoing financial performance, cash position, budget and business plan and market conditions, we may consider paying special dividends. However, we do not plan to pay dividends in the foreseeable future. We currently intend to retain most, if not all, of our available funds and any future earnings to operate and expand our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subsidiaries in China for our cash requirements, including any payment of dividends to our shareholders. PRC regulations may restrict the ability of our PRC subsidiaries to pay dividends to us. See “Item 4. Information on the Company—B. Business Overview—Regulation—PRC regulation on dividend distributions.”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applicable laws. In addition, our shareholders may by ordinary resolution declare dividends,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Under Cayman Islands law, we may declare and pay dividends on our shares only out of our profit or our share premium account, provided always that even if our company has sufficient profit or share premium, we may not pay a dividend if this would result in our company being unable to pay our debts as they fall due in the ordinary course of business. If we pay any dividends on our common shares, we will pay those dividends which are payable in respect of the underlying common shares represented by our ADSs to the depositary, as the registered holder of such common shares, and the depositary then will pay such amounts to our ADS holders in proportion to the common shares underlying the ADSs held by such ADS holders, subject to the terms of the deposit agreement, including the fees and expenses payable thereunder. See “Item 12. Description of Securities Other than Equity Securities—D. American Depositary Shares.” Cash dividends on our common shares, if any, will be paid in U.S. dollars.</w:t>
      </w:r>
    </w:p>
    <w:p>
      <w:pPr>
        <w:spacing w:after="0" w:line="18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680" w:hanging="672"/>
        <w:spacing w:after="0"/>
        <w:tabs>
          <w:tab w:leader="none" w:pos="6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since June 24, 2014. Our ADSs currently trade on The Nasdaq Global Select Market under the symbol “XNET.” One ADS represents five common shares.</w:t>
      </w:r>
    </w:p>
    <w:p>
      <w:pPr>
        <w:spacing w:after="0" w:line="158" w:lineRule="exact"/>
        <w:rPr>
          <w:sz w:val="20"/>
          <w:szCs w:val="20"/>
          <w:color w:val="auto"/>
        </w:rPr>
      </w:pPr>
    </w:p>
    <w:p>
      <w:pPr>
        <w:ind w:left="660" w:right="7720" w:hanging="652"/>
        <w:spacing w:after="0" w:line="530" w:lineRule="auto"/>
        <w:tabs>
          <w:tab w:leader="none" w:pos="672"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680" w:hanging="672"/>
        <w:spacing w:after="0"/>
        <w:tabs>
          <w:tab w:leader="none" w:pos="6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have been listed on Nasdaq Global Select Market since June 24, 2014 under the symbol “XNET.”</w:t>
      </w:r>
    </w:p>
    <w:p>
      <w:pPr>
        <w:spacing w:after="0" w:line="221" w:lineRule="exact"/>
        <w:rPr>
          <w:sz w:val="20"/>
          <w:szCs w:val="20"/>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7580" w:hanging="652"/>
        <w:spacing w:after="0" w:line="537" w:lineRule="auto"/>
        <w:tabs>
          <w:tab w:leader="none" w:pos="64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680" w:hanging="672"/>
        <w:spacing w:after="0"/>
        <w:tabs>
          <w:tab w:leader="none" w:pos="6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eighth amended and restated memorandum and seventh amended and restated articles of association, as well as the Companies Act (As Revised) insofar as they relate to the material terms of our ordinary shares.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amended and restated memorandum and articles of association, the objects for which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established are unrestricted, and we have full power and authority to carry out any object not prohibited by the laws of the Cayman Islands.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Shares. </w:t>
      </w:r>
      <w:r>
        <w:rPr>
          <w:rFonts w:ascii="Times New Roman" w:cs="Times New Roman" w:eastAsia="Times New Roman" w:hAnsi="Times New Roman"/>
          <w:sz w:val="18"/>
          <w:szCs w:val="18"/>
          <w:color w:val="auto"/>
        </w:rPr>
        <w:t>Our common shares are issued in registered form. We may not issue shares to bearer. Our shareholders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non-residents of the Cayman Islands may freely hold and vote their shares.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shareholders by ordinary resolution (provided that no dividend may be declared by our shareholders which exceeds the amount recommended by our directors). Our amended and restated memorandum and articles of association provide that our directors may, before recommending or declaring any dividend, set aside out of the funds legally available for distribution such sums as they think proper as a reserve or reserves which shall, at the discretion of the directors be applicable for meeting contingencies, or for equalizing dividends or for any other purpose to which those funds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Voting at any meeting of shareholders is by show of hands unless a poll (before or on the declaration of the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show of hands) is demanded. A poll may be demanded by the chairperson of such meeting or any one or more shareholders present in person or by proxy entitled to vote and who together hold not less than 10 per cent of the paid up voting share capital of our company.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a change of name or making changes to our amended and restated memorandum and articles of association. Our shareholders may, among other things, divide or combine their shares by ordinary resolution.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amended and restated memorandum and articles of association provide that we may in each year hold a general meeting as our annual general meeting in which case we should specify the meeting as such in the notices calling it, and the annual general meeting should be held at such time and place as may be determined by our directors.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our chairman or by a simple majority of our board of directors (which shall include one non-independent director). Advance notice of at least seven calendar days is required for the convening of our annual general shareholders’ meeting (if any) and any other general meeting of our shareholders. A quorum required for any general meeting of shareholders consists of one or more shareholders present in person or by proxy, representing not less than an aggregate of fifty (50) per cent of the total voting power of our company in issue and entitled to vote at the general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any one or more of our shareholders who together hold shares which carry in aggregate not less than one-third of all votes of the aggregate voting power of our company as at the date of the deposit carries the right of voting at our general meetings, our board will convene an extraordinary general meeting and put the resolutions so requisitioned to a vote at such meeting. However, our amended and restated memorandum and articles of association do not provide our shareholders with any right to put any proposals before annual general meetings or extraordinary general meetings not called by such shareholders.</w:t>
      </w:r>
    </w:p>
    <w:p>
      <w:pPr>
        <w:spacing w:after="0" w:line="19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Shares of our company are transferable; provided that our board of directors may,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decline to register any transfer of any share which is not fully paid up or on which we have a lien.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also decline to register any transfer of any ordinary share unless:</w:t>
      </w:r>
    </w:p>
    <w:p>
      <w:pPr>
        <w:spacing w:after="0" w:line="225" w:lineRule="exact"/>
        <w:rPr>
          <w:sz w:val="20"/>
          <w:szCs w:val="20"/>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free of any lien in favor of us;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should, within two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closed at such times and for such periods as our board of directors may from time to time determine.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the liquidator may, with the sanction of an ordinary resolution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divide amongst the shareholders in specie or in kind the whole or any part of the assets of the company (whether they shall consist of property of the same kind or note) and may for such purpose set such value as he deems fair upon any property to be divided as aforesaid and may determine how such division shall be carried out as between the shareholders or different classes of shareholders.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calendar days prior to the specified time and place of payment. The shares that have been called upon and remain unpaid are subject to forfeiture.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or at the option of the holders of these shares, on such terms and in such manner as may be determined by our board of directors before the issue of such shares. We may also repurchase any of our shares (including any redeemable shares) provided that the shareholders shall have approved the manner of repurchase by ordinary resolutions unless:</w:t>
      </w:r>
    </w:p>
    <w:p>
      <w:pPr>
        <w:spacing w:after="0" w:line="182" w:lineRule="exact"/>
        <w:rPr>
          <w:sz w:val="20"/>
          <w:szCs w:val="20"/>
          <w:color w:val="auto"/>
        </w:rPr>
      </w:pPr>
    </w:p>
    <w:p>
      <w:pPr>
        <w:ind w:left="1000" w:hanging="324"/>
        <w:spacing w:after="0" w:line="286" w:lineRule="auto"/>
        <w:rPr>
          <w:sz w:val="20"/>
          <w:szCs w:val="20"/>
          <w:color w:val="auto"/>
        </w:rPr>
      </w:pP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if the number of shares being repurchased is less than 3% of our issued shares, then we may repurchase such shares in such</w:t>
      </w: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manner our board of directors may, by a simple majority of the entire board of directors (which shall include one non-independent director), approve and on such terms as the board of directors may agree with the relevant shareholder; and</w:t>
      </w:r>
    </w:p>
    <w:p>
      <w:pPr>
        <w:spacing w:after="0" w:line="160" w:lineRule="exact"/>
        <w:rPr>
          <w:sz w:val="20"/>
          <w:szCs w:val="20"/>
          <w:color w:val="auto"/>
        </w:rPr>
      </w:pPr>
    </w:p>
    <w:p>
      <w:pPr>
        <w:ind w:left="1000" w:hanging="324"/>
        <w:spacing w:after="0" w:line="279" w:lineRule="auto"/>
        <w:rPr>
          <w:sz w:val="20"/>
          <w:szCs w:val="20"/>
          <w:color w:val="auto"/>
        </w:rPr>
      </w:pP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if the number of shares being repurchased is more than 3% but less than 5% of our issued shares, then we may repurchase</w:t>
      </w: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such shares in such manner our board of directors may, by a majority of two-thirds (2/3rds) of the entire board of directors (which shall include one non-independent director), approve and on such terms as the board of directors may agree with the relevant shareholder.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If at any time, our share capital is divided into different classes of shares, the rights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class may, subject to any rights or restrictions for the time being attached to any class, only be varied or abrogated with the consent in writing of the holders of a majority of the issued shares of that class or with the sanction of an ordinary resolution passed at a separate meeting of the holders of the shares of that class. The rights conferred upon the holders of the shares of any class issued with preferred or other rights shall not be deemed to be varied by the creation or issue of further shares ranking in priority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and articles of association authorize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issue additional shares from time to time as our board of directors determines, without approval of the existing shareholders, to the extent out of available authorized but unissued ordinary shares, provided however that:</w:t>
      </w:r>
    </w:p>
    <w:p>
      <w:pPr>
        <w:spacing w:after="0" w:line="175" w:lineRule="exact"/>
        <w:rPr>
          <w:sz w:val="20"/>
          <w:szCs w:val="20"/>
          <w:color w:val="auto"/>
        </w:rPr>
      </w:pPr>
    </w:p>
    <w:p>
      <w:pPr>
        <w:ind w:left="1000" w:hanging="324"/>
        <w:spacing w:after="0" w:line="300" w:lineRule="auto"/>
        <w:rPr>
          <w:sz w:val="20"/>
          <w:szCs w:val="20"/>
          <w:color w:val="auto"/>
        </w:rPr>
      </w:pP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if such issued shares account for 3% or less of the total issued shares upon the completion of the issuance of shares, such</w:t>
      </w: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issuance may only be approved by a simple majority of the entire board of directors (which shall include one non-independent director);</w:t>
      </w:r>
    </w:p>
    <w:p>
      <w:pPr>
        <w:spacing w:after="0" w:line="370" w:lineRule="exact"/>
        <w:rPr>
          <w:sz w:val="20"/>
          <w:szCs w:val="20"/>
          <w:color w:val="auto"/>
        </w:rPr>
      </w:pPr>
    </w:p>
    <w:p>
      <w:pPr>
        <w:ind w:left="1000" w:hanging="324"/>
        <w:spacing w:after="0" w:line="286" w:lineRule="auto"/>
        <w:rPr>
          <w:sz w:val="20"/>
          <w:szCs w:val="20"/>
          <w:color w:val="auto"/>
        </w:rPr>
      </w:pP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if such issued shares account for more than 3% and not exceeding 5% of the total issued shares upon the completion of the</w:t>
      </w: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issuance of shares, such issuance may only be approved by at least two-thirds of the entire board of directors (which shall include one non-independent director);</w:t>
      </w:r>
    </w:p>
    <w:p>
      <w:pPr>
        <w:spacing w:after="0" w:line="160" w:lineRule="exact"/>
        <w:rPr>
          <w:sz w:val="20"/>
          <w:szCs w:val="20"/>
          <w:color w:val="auto"/>
        </w:rPr>
      </w:pPr>
    </w:p>
    <w:p>
      <w:pPr>
        <w:ind w:left="1000" w:hanging="324"/>
        <w:spacing w:after="0" w:line="308" w:lineRule="auto"/>
        <w:rPr>
          <w:sz w:val="20"/>
          <w:szCs w:val="20"/>
          <w:color w:val="auto"/>
        </w:rPr>
      </w:pP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if such issued shares account for more than 5% and not exceeding 10% of the total issued shares upon the completion of</w:t>
      </w: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the issuance of shares, such issuance may only be approved by a unanimous resolution of the entire board of directors; and</w:t>
      </w:r>
    </w:p>
    <w:p>
      <w:pPr>
        <w:spacing w:after="0" w:line="141" w:lineRule="exact"/>
        <w:rPr>
          <w:sz w:val="20"/>
          <w:szCs w:val="20"/>
          <w:color w:val="auto"/>
        </w:rPr>
      </w:pPr>
    </w:p>
    <w:p>
      <w:pPr>
        <w:ind w:left="1000" w:hanging="324"/>
        <w:spacing w:after="0" w:line="286" w:lineRule="auto"/>
        <w:rPr>
          <w:sz w:val="20"/>
          <w:szCs w:val="20"/>
          <w:color w:val="auto"/>
        </w:rPr>
      </w:pP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if such issued shares account for more than 10% of the total issued shares upon the completion of the issuance of shares,</w:t>
      </w:r>
      <w:r>
        <w:rPr>
          <w:rFonts w:ascii="Cambria" w:cs="Cambria" w:eastAsia="Cambria" w:hAnsi="Cambria"/>
          <w:sz w:val="16"/>
          <w:szCs w:val="16"/>
          <w:b w:val="1"/>
          <w:bCs w:val="1"/>
          <w:color w:val="auto"/>
        </w:rPr>
        <w:t xml:space="preserve"> </w:t>
      </w:r>
      <w:r>
        <w:rPr>
          <w:rFonts w:ascii="Times New Roman" w:cs="Times New Roman" w:eastAsia="Times New Roman" w:hAnsi="Times New Roman"/>
          <w:sz w:val="17"/>
          <w:szCs w:val="17"/>
          <w:color w:val="auto"/>
        </w:rPr>
        <w:t>such issuance may only be approved by (i) a unanimous resolution of the entire board of directors, and (ii) an ordinary resolution of the shareholders of the company.</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Save for the foregoing, all other matters relating to our shares, including granting rights over existing shares, or issuing other securities in one or more series and determining designations, powers, preferences, privileges and other rights, including dividend rights, conversion rights, terms of redemption and liquidation preferences, any or all of which may be greater than the powers and rights associates with the shares held by existing shareholders, may be approved only by an ordinary resolution of the shareholders.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(other than our memorandum and articles of association, any special resolutions, and our register of mortgages and charges). However, we will provide our shareholders with annual audited financial statements.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 association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w:t>
      </w:r>
    </w:p>
    <w:p>
      <w:pPr>
        <w:spacing w:after="0" w:line="175" w:lineRule="exact"/>
        <w:rPr>
          <w:sz w:val="20"/>
          <w:szCs w:val="20"/>
          <w:color w:val="auto"/>
        </w:rPr>
      </w:pPr>
    </w:p>
    <w:p>
      <w:pPr>
        <w:ind w:left="1000" w:right="2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certain additional shares (up to 10% of our total issued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incorporated with limited liability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given for up to 30 years);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w:t>
      </w:r>
    </w:p>
    <w:p>
      <w:pPr>
        <w:jc w:val="both"/>
        <w:ind w:firstLine="8"/>
        <w:spacing w:after="0" w:line="251" w:lineRule="auto"/>
        <w:tabs>
          <w:tab w:leader="none" w:pos="25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92" w:lineRule="exact"/>
        <w:rPr>
          <w:sz w:val="20"/>
          <w:szCs w:val="20"/>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83" w:lineRule="exact"/>
        <w:rPr>
          <w:sz w:val="20"/>
          <w:szCs w:val="20"/>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every director and officer of our company for the time being and from time to time shall be indemnified and secured harmless out of the assets and funds of the company against all actions, proceedings, costs, charges, expenses, losses, damages or liabilities incurred or sustained by him, otherwise than by reason of his own dishonesty, actual fraud or willful default,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Cayman Islands or elsewhere. This standard of conduct is generally the same as permitted under the Delaware General Corporation Law for a Delaware corporation.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62" w:lineRule="exact"/>
        <w:rPr>
          <w:sz w:val="20"/>
          <w:szCs w:val="20"/>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memorandum and articles of association, any one or more shareholders holding not less than one-third of the aggregate voting power of the company as at the date of deposit of the requisition carrying the right to vote at general meetings of the company shall have the right, by written requisition to the company, to require an extraordinary general meeting to be called by the board of directors for the transaction of any business specified in such requisition.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at any time before the expiration of his term of office notwithstanding anything in our memorandum and articles of association or in any agreement between our company and such director (but without prejudice to any claim for damages under any such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consent in writing of the holders of a majority of the issued shares of that class or with the sanction of an ordinary resolution passed at a separate meeting of the holders of the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179" w:lineRule="exact"/>
        <w:rPr>
          <w:sz w:val="20"/>
          <w:szCs w:val="20"/>
          <w:color w:val="auto"/>
        </w:rPr>
      </w:pPr>
    </w:p>
    <w:p>
      <w:pPr>
        <w:ind w:left="680" w:hanging="672"/>
        <w:spacing w:after="0"/>
        <w:tabs>
          <w:tab w:leader="none" w:pos="6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 on Form 20-F during the two years immediately preceding the date of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Company—Business Overview—Regulation— PRC regulation on foreign exchange control and administration.”</w:t>
      </w:r>
    </w:p>
    <w:p>
      <w:pPr>
        <w:spacing w:after="0" w:line="117"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Maples and Calder (Hong Kong) LLP, our Cayman Islands legal counsel, the Cayman Islands currently levies no taxes on individuals or corporations based upon profits, income, gains or appreciation, and there is no taxation in the nature of inheritance tax or estate duty. There are no other taxes likely to be material to holders of our ADSs or common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 enterprise established outside the PRC with “de facto management bodies” within the PRC is considered a “resident enterprise” of the PRC. A circular issued by the SAT on April 22, 2009 clarified that dividends and other income paid by such resident enterprises will be considered PRC-source income and subject to PRC withholding tax, currently at a rate of 10%, when paid to non-PRC enterprise shareholders. Under the implementation regulations to the PRC Enterprise Income Tax Law, a “de facto management body” is defined as a body that has material and overall management and control over the manufacturing and business operations, personnel and human resources, finances and properties of an enterprise. In addition, the circular mentioned above specifies that certain offshore enterprises controlled by PRC resident enterprises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the company seal, and minutes of board meetings and shareholders’ meetings; and half or more of the senior management or directors having voting rights. We do not believe we would be treated as a “resident enterprise” for PRC tax purposes even if the criteria for “de facto management body” as set forth in the circular mentioned above were deemed applicable to us. See “Item 3. Key Information—D. Risk Factors—Risks Related to Doing Business in China—Our global income may be subject to PRC taxes under the PRC Enterprise Income Tax Law, which may have a material adverse effect on our results of operations.” However, if the PRC tax authorities determine that we are a PRC resident enterprise for enterprise income tax purposes, we may be required to withhold a 10% withholding tax from dividends we pay to our non-resident enterprise shareholders, including the holders of our ADSs and nonresident enterprise holders may be subject to PRC tax on gains realized on the sale or other disposition of ADSs or common shares. It is unclear whether our non-PRC individual shareholders (including our ADS holders) would be subject to any PRC tax on dividends or gains in the event we are determined to be a PRC resident enterprise. If any PRC tax were to apply to such dividends or gains, it would generally apply at a rate of 20% (unless a reduced rate is available under an applicable tax treaty).</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deemed to be a PRC resident enterprise and our non-resident enterprise shareholders (including our ADS holders) are subject to PRC tax as described above, the withholding agent will be required to withhold enterprise income tax on payments of dividends to such investors. The withholding agent must obtain a tax withholding registration and withhold the enterprise income tax from each payment made to non-resident enterprise shareholders and file a report to the competent tax authorities. Where the withholding agent fails or is unable to perform its withholding obligation, the non-resident enterprise shareholders must pay the tax due to the applicable tax authorities within seven days after the payment is made or due. We, as the withholding agent, will be required to obtain a tax withholding registration and withhold the applicable enterprise income tax in order to comply with the above requirements. It is not clear who the withholding agent would be if tax is due on capital gains. In the event that we or our non-resident enterprise shareholders (including our ADS holders) fail to comply with the above procedures, we or our non-resident enterprise shareholders (including our ADS holders) may be ordered to rectify the non-compliance or be subject to a fine of no more than RMB10,000. Failure by us to withhold the income tax fully and timely may result in a fine of 50% to three times of the unpaid tax and failure by our ADS holders to pay the tax fully and timely may result in late payment penalties, or a fine of 50% to five times of the unpaid tax.</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if we are treated as a PRC resident enterprise for enterprise income tax purposes, we may be eligible for the benefits of the income tax treaty between the PRC and other jurisdictions in which we may derive income, such as the United States. However, if we are treated as a PRC resident enterprise, we do not expect to withhold at treaty rates if any withholding is required on dividends we pay to our non-resident shareholders (including our ADS holders) notwithstanding such holders may be eligible for the income tax treaty between their resident jurisdictions and the PRC. The United States—PRC tax treaty generally limits PRC withholding on dividends to a rate of 10%. Investors should consult their tax advisors regarding the availability of treaty benefits and the procedure for claiming a refund, if any.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not deemed a PRC resident enterprise, no PRC income tax will be withheld from dividends distributed by us and no PRC income tax will be payable on gains realized from the sale or other disposition of our shares or ADSs by the non-resident holders of our shares or ADSs. SAT Circular 7 further clarifies that, where a non-resident enterprise derives income by acquiring and selling shares in an offshore listed enterprise in the public market, such income shall not be subject to PRC tax. However, given the uncertainty concerning the application of SAT Public Notice 37 and SAT Circular 7, we and our non-PRC resident investors may be at risk of being required to file a return and being taxed under SAT Public Notice 37 and SAT Circular 7, and we may be required to expend valuable resources to comply with SAT Public Notice 37 and SAT Circular 7 or to establish that we should not be taxed under SAT Public Notice 37 and SAT Circular 7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United States federal income tax considerations generally applicable to the ownership and disposition of our ADSs or common shares by a U.S. Holder (as defined below) that holds our ADSs as “capital assets” (generally, property held for investment) under Section 1221 of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any minimum tax considerations, the Medicare tax on net investment income, or any state, local or non-U.S. tax considerations relating to the ownership or disposition of the ADSs or common shares. The following summary does not address all aspects of United States federal income taxation that may be important to particular investors in light of their individual investment circumstances or to persons in special tax situations such as:</w:t>
      </w:r>
    </w:p>
    <w:p>
      <w:pPr>
        <w:spacing w:after="0" w:line="188" w:lineRule="exact"/>
        <w:rPr>
          <w:sz w:val="20"/>
          <w:szCs w:val="20"/>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any minimum tax;</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common shares pursuant to any employee share option or otherwise as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common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taxable as partnerships for U.S. federal income tax purposes, or persons holding common stock through such entities or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United States federal, state, local, and non-U.S. income and other tax considerations of the ownership and disposition of our ADSs or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common shares that is, for United States federal income tax purposes:</w:t>
      </w:r>
    </w:p>
    <w:p>
      <w:pPr>
        <w:spacing w:after="0" w:line="162" w:lineRule="exact"/>
        <w:rPr>
          <w:sz w:val="20"/>
          <w:szCs w:val="20"/>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 or applicable U.S. Treasury Regulations.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ADSs or common shares, the tax treatment of a partner in the partnership will generally depend upon the status of the partner and the activities of the partnership. Partnerships holding our ADSs or common shares and partners in such partnerships are urged to consult their tax advisors regarding the ownership and disposition of our ADSs or common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generally expected that a U.S. Holder of ADSs should be treated, for United States federal income tax purposes, as the beneficial owner of the underlying shares represented by the ADSs. The remainder of this discussion assumes that a holder of ADSs will be treated in this manner. Accordingly, deposits or withdrawals of common shares for ADSs will generally not be subject to United States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upon the nature and composition of our assets (in particular, the retention of substantial amounts of cash and investments), and the market price of our ADSs, we believe that we were a PFIC for United States federal income tax purposes for the taxable year ended December 31, 2025, and we will very likely be classified as a PFIC for our current taxable year unless the market price of our ADSs increases and/or we invest a substantial amount of the cash and other passive assets we hold in assets that produce or are held for the production of non-passive income. A non-United States corporation, such as our company, will be classified as PFIC, for United States federal income tax purposes, if, in the case of any particular taxable year,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is categorized as a passive asset and the company’s unbooked intangibles associated with active business activities may generally be classified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law in this regard is unclear, we treat the variable interest entities (including their subsidiaries) as being owned by us for United States federal income tax purposes, not only because we exercise effective control over the operations of such entity, but also because we are entitled to substantially all of its economic benefits, and, as a result, we consolidate its results of operations in our consolidated financial statements.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ADSs or common shares, we generally will continue to be treated as a PFIC for all succeeding years during which such U.S. Holder holds our ADSs or common shares, even if we cease to be a PFIC. However, if we cease to be a PFIC; provided that a U.S. Holder has not made a mark-to-market election, as described below, such U.S. Holder may avoid some of the adverse effects of the PFIC regime by making a “deemed sale” election with respect to the ADSs or common shares, as applicable. If such election is made, such U.S. Holder will be deemed to have sold our ADSs or common shares such U.S. Holder holds at their fair market value and any gain from such deemed sale would be subject to the rules described below under “Passive Foreign Investment Company Rules.” After the deemed sale election, so long as we do not become a PFIC in a subsequent taxable year, the ADSs or common shares with respect to which such election was made will not be treated as shares in a PFIC and such U.S. Holder will not be subject to the rules described below with respect to any “excess distribution” such U.S. Holder receives from us or any gain from an actual sale or other disposition of the ADSs or common shares. The rules dealing with deemed sale elections are very complex. Each U.S. Holder should consult its tax advisors regarding the possibility and considerations of making a deemed sale election.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distributions (including the amount of any PRC tax withheld) paid on our ADSs or common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common shares, or by the depositary, in the case of ADSs. Because we do not intend to determine our earnings and profits on the basis of United States federal income tax principles, any distribution paid will generally be treated as a “dividend” for United States federal income tax purposes. Dividends received on our ADSs or common shares will not be eligible for the dividends received deduction allowed to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non-corporate recipient of dividend income will generally be subject to tax on dividend income from a “qualified foreign corporation” at a lower applicable capital gains rate rather than the marginal tax rates generally applicable to ordinary income provided that certain holding period requirements are met. A non-United States corporation (other than a corporation that is classified as a PFIC for the taxable year in which the dividend is paid or the preceding taxable year) generally will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(or ADSs in respect of such stock) which is readily tradable on an established securities market in the United States. Our ADSs are currently listed on Nasdaq Global Select Market. We believe that the ADSs will be readily tradable on an established securities market in the United States for so long as our ADSs continue to be listed on the Nasdaq Global Select Market. Since we do not expect that our common shares will be listed on established securities markets, it is unclear whether dividends that we pay on our common shares that are not backed by ADSs currently meet the conditions required for the reduced tax rate. There can be no assurance that our ADSs will continue to be considered readily tradable on an established securities market in later years. Furthermore, as mentioned above, we believe that we were a PFIC for the taxable year ended December 31, 2025, and we will very likely be classified as a PFIC for our current taxable year. In the event that we are deemed to be a PRC resident enterprise under the PRC Enterprise Income Tax Law (see “Item 10. Additional Information—E. Taxation—People’s Republic of China Taxation”), we may be eligible for the benefits of the U.S.-PRC income tax treaty, or the Treaty. If we are eligible for such benefits, dividends we pay on our common shares, regardless of whether such shares are represented by the ADSs, and regardless of whether our ADSs are readily tradable on an established securities market in the United States, would potentially be eligible for the reduced rate of taxation described above in this paragraph. Each non-corporate U.S. holder is advised to consult its tax advisors regarding the availability of the reduced tax rate applicable to qualified dividend income for any dividends we pay with respect to our ADSs or common shares.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passive income from foreign sources for United States foreign tax credit purposes. In the event that we are deemed to be a PRC resident enterprise under the PRC Enterprise Income Tax Law, a U.S. Holder may be subject to PRC withholding taxes on dividends paid on our ADSs or common shares (see “Item 10. Additional Information—E. Taxation— People’s Republic of China Taxation”). A U.S. Holder may be eligible, subject to a number of complex limitations, to claim a foreign tax credit in respect of any foreign withholding taxes imposed on dividends received on our ADSs or common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very likely be classified as a PFIC for our current taxable year. U.S. Holders are urged to consult their tax advisors regarding the availability of the reduced rate of taxation on dividends with respect to our ADSs or common shares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Common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capital gain or loss upon the sale or other disposition of ADSs or common shares in an amount equal to the difference between the amount realized upon the disposition and the holder’s adjusted tax basis in such ADSs or common shares. Any capital gain or loss will be long-term if the ADSs or common shares have been held for more than one year and will generally be United States source gain or loss for United States foreign tax credit purposes, which will generally limit the availability of foreign tax credits. Long-term capital gain of non-corporate U.S. Holders is generally eligible for a reduced rate of taxation. The deductibility of a capital loss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“Item 10. Additional Information—E. Taxation—People’s Republic of China Taxation,” if we are deemed to be a PRC resident enterprise under the PRC Enterprise Income Tax Law, gains from the disposition of the ADSs or common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the U.S.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the ADSs or common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U.S. Treasury Regulations.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very likely be classified as a PFIC for our current taxable year. U.S. Holders are urged to consult their tax advisors regarding the tax considerations of the sale or other disposition of our ADSs or common shares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very likely be classified as a PFIC for our current taxable year. If we are classified as a PFIC for any taxable year during which a U.S. Holder holds our ADSs or common shares, and unless the U.S. Holder makes a mark-to-market election (as described below), the U.S. Holder will generally be subject to special United States federal income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common shares), and (ii) any gain realized on the sale or other disposition, including, under certain circumstance, a pledge, of ADSs or common shares. Under the PFIC rules:</w:t>
      </w:r>
    </w:p>
    <w:p>
      <w:pPr>
        <w:spacing w:after="0" w:line="192" w:lineRule="exact"/>
        <w:rPr>
          <w:sz w:val="20"/>
          <w:szCs w:val="20"/>
          <w:color w:val="auto"/>
        </w:rPr>
      </w:pPr>
    </w:p>
    <w:p>
      <w:pPr>
        <w:ind w:left="100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gain will be allocated ratably over the U.S. Holder’s holding period for the ADSs or common shares;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or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applicable to the U.S. Holder for that year;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charge generally applicable to underpayments of tax will be imposed on the tax attributable to each prior taxable year, other than a pre-PFIC year.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common shares and any of our non-United States subsidiaries or variable interest entities is also a PFIC, such U.S. Holder would be treated as owning a proportionate amount (by value) of the shares of the lower-tier PFIC for purposes of the application of these rules. U.S. Holders are advised to consult their tax advisors regarding the application of the PFIC rules to any of our subsidiaries or variable interest entities.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As an alternative to the foregoing rules, a U.S. Holder of “marketable stock” in a PFIC may make a mark-to-market election with respect to our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ADSs are regularly traded on a national securities exchange that is registered with the SEC, or on a foreign exchange or market that the IRS determines is a qualified exchange that has rules sufficient to ensure that the market price represents a legitimate and sound fair market value. Our ADSs are listed on the Nasdaq Global Select Market, which is an established securities market in the United States. Our ADSs may be regularly traded, but no assurances may be given in this regard. If a mark-to-market election is made,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an effective mark-to-market election, in each year that we are a PFIC, any gain recognized upon the sale or other disposition of the ADSs will be treated as ordinary income and any loss will be treated as ordinary loss, but only to the extent of the net amount previously included in income as a result of the mark-to-market election. If a U.S. Holder makes a mark-to-market election it will be effective for the taxable year for which the election is made and all subsequent taxable years unless the ADSs are no longer treated as marketable stock or the IRS consents to the revocation of the election. It is intended that only the ADSs and not the common shares will be listed on the Nasdaq Global Select Market. Consequently, if a U.S. Holder holds common shares that are not represented by ADSs, such holder will generally not be eligible to make a mark-to-market election if we are or were to become a PFIC.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that makes a mark-to-market election with respect to our ADSs may continue to be subject to the general PFIC rules with respect to such U.S. Holder’s indirect interest in any investments held by us that are treated as an equity interest in a PFIC for United States federal income tax purposes.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U.S. Holder owns our ADSs or common shares during any taxable year that we are a PFIC, the holder generally will be required to file annual reports with the IRS. U.S. Holders are advised to consult their tax advisors regarding the reporting requirements that may apply and the United States federal income tax consequences of holding and disposing ADSs or common shares if we are or become classified as a PFIC, including the possibility of making a mark-to-market election and the unavailability of the election to treat us as a qualified electing fund.</w:t>
      </w:r>
    </w:p>
    <w:p>
      <w:pPr>
        <w:spacing w:after="0" w:line="179" w:lineRule="exact"/>
        <w:rPr>
          <w:sz w:val="20"/>
          <w:szCs w:val="20"/>
          <w:color w:val="auto"/>
        </w:rPr>
      </w:pPr>
    </w:p>
    <w:p>
      <w:pPr>
        <w:ind w:left="660" w:right="7020" w:hanging="652"/>
        <w:spacing w:after="0" w:line="500" w:lineRule="auto"/>
        <w:tabs>
          <w:tab w:leader="none" w:pos="64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620" w:hanging="652"/>
        <w:spacing w:after="0" w:line="530" w:lineRule="auto"/>
        <w:tabs>
          <w:tab w:leader="none" w:pos="647"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640" w:hanging="632"/>
        <w:spacing w:after="0"/>
        <w:tabs>
          <w:tab w:leader="none" w:pos="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As a foreign private issuer, (i) we are exempt from the rules under the Exchange Act prescribing the furnishing and content of quarterly reports and proxy statements, (ii) our officers and directors are exempt from the short-swing rules contained in Section 16 of the Exchange Act, and (iii) our principal shareholders are exempt from the reporting and short-swing rules contained in Section 16 of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JPMorgan Chase Bank, N.A., the depositary of our ADS program,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http://ir.xunlei.com. In addition, we will provide hard copies of our annual report free of charge to shareholders and ADS holders upon request.</w:t>
      </w:r>
    </w:p>
    <w:p>
      <w:pPr>
        <w:spacing w:after="0" w:line="172" w:lineRule="exact"/>
        <w:rPr>
          <w:sz w:val="20"/>
          <w:szCs w:val="20"/>
          <w:color w:val="auto"/>
        </w:rPr>
      </w:pPr>
    </w:p>
    <w:p>
      <w:pPr>
        <w:ind w:left="660" w:right="7440" w:hanging="652"/>
        <w:spacing w:after="0" w:line="530" w:lineRule="auto"/>
        <w:tabs>
          <w:tab w:leader="none" w:pos="667"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680" w:hanging="672"/>
        <w:spacing w:after="0"/>
        <w:tabs>
          <w:tab w:leader="none" w:pos="6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Renminbi is not freely convertible into foreign currencies. Remittances of foreign currencies into the PRC and conversion of foreign currencies into Renminbi require approval by foreign exchange administrative authorities and certain supporting documentation. The State Administration for Foreign Exchange, under the authority of the People’s Bank of China, controls the conversion of Renminbi into other currencies. A majority of our revenues and expenses of our subsidiaries, and the consolidated variable interest entities and their subsidiaries are generally denominated in Renminbi and their assets and liabilities are denominated in Renminbi. In addition, our financing activities have been denominated mainly in U.S. dollars while the interest bearing loan we borrowed for the construction of our headquarters building is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amount of Renminbi we receive from the conversion. Conversely, if we decide to convert Renminbi into U.S. dollars for the purpose of making payments for dividends on our common shares or ADSs or for other business purposes, appreciation of the U.S. dollar against the Renminbi would have a negative effect on the U.S. dollar amounts available to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and short-term investments of RMB1,130.2 million, HKD-denominated cash and cash equivalents of HKD0.1 million, USD-denominated cash, cash equivalents and short-term investments of US$140.4 million, SGD-denominated cash and cash equivalents of SGD4.8 million,PHP-denominated cash and cash equivalents of 8.2 million, and INR-denominated cash and cash equivalents of INR62.9 million, JPY-denominated cash and cash equivalents of 340.0 thousand, MYR-denominated cash and cash equivalents of 46.3 thousand and TRY-denominated cash and cash equivalents of 4.8 thousand. We also had RMB-denominated restricted cash of RMB5.7 million. Assuming we had converted RMB1,135.9 million into U.S. dollars at the exchange rate of RMB7.0288 for US$1.00 on December 31, 2025 released by the State Administration of Foreign Exchange of the PRC, our U.S. dollar cash balance would have had a US$161.6 million increase. If the Renminbi had depreciated by 10% against the U.S. dollar, our U.S. dollar cash balance would have had a US$146.9 million increases instead. Assuming we had converted US$140.4 million into Renminbi at the exchange rate of RMB7.0288 for US$1.00 on December 31, 2025 released by the State Administration of Foreign Exchange of the PRC, our Renminbi cash balance would have had a RMB986.8 million increase. If the Renminbi had depreciated by 10% against the U.S. dollar, our Renminbi cash balance would have had a RMB1,085.4 million increase instead.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Further, our interest-bearing bank loan is in Renminbi with a flexible interest rate. 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71" w:lineRule="exact"/>
        <w:rPr>
          <w:sz w:val="20"/>
          <w:szCs w:val="20"/>
          <w:color w:val="auto"/>
        </w:rPr>
      </w:pPr>
    </w:p>
    <w:p>
      <w:pPr>
        <w:jc w:val="both"/>
        <w:ind w:left="660" w:right="8120" w:hanging="652"/>
        <w:spacing w:after="0" w:line="447" w:lineRule="auto"/>
        <w:tabs>
          <w:tab w:leader="none" w:pos="637"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7680" w:hanging="652"/>
        <w:spacing w:after="0" w:line="455" w:lineRule="auto"/>
        <w:tabs>
          <w:tab w:leader="none" w:pos="627"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right="8040" w:hanging="652"/>
        <w:spacing w:after="0" w:line="455" w:lineRule="auto"/>
        <w:tabs>
          <w:tab w:leader="none" w:pos="637"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40" w:hanging="632"/>
        <w:spacing w:after="0"/>
        <w:tabs>
          <w:tab w:leader="none" w:pos="6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appointed JPMorgan Chase Bank, N.A. as the successor depositary for our ADS program, effective from December 31, 2024, replacing The Bank of New York Mellon.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canceled or reduced for any other reason, $5.00 for each 100 ADSs (or any portion thereof) issued, delivered, reduced, canceled or surrendered, as the case may be. The depositary may sell (by public or private sale) sufficient securities and property received in respect of a share distribution, rights and/or other distribution prior to such deposit to pay such charge.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12" w:lineRule="exact"/>
        <w:rPr>
          <w:sz w:val="20"/>
          <w:szCs w:val="20"/>
          <w:color w:val="auto"/>
        </w:rPr>
      </w:pPr>
    </w:p>
    <w:p>
      <w:pPr>
        <w:ind w:left="1000" w:right="20" w:hanging="31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US$5.00 for each 100 ADSs (or portion thereof) issued, delivered, reduced, canceled or surrendered, or upon which a share distribution or elective distribution is made or offered (as the case may be);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pursuant to the deposit agreement;</w:t>
      </w:r>
    </w:p>
    <w:p>
      <w:pPr>
        <w:spacing w:after="0" w:line="157"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the direct or indirect distribution of securities or the net cash proceeds from the public or private sale of any such securities, regardless of whether any such distribution and/or sale is made by, for, or received from, or (in each case) on behalf of, the depositary, the company and/or any third party (which fee may be assessed against holders as of a record date set by the depositary),</w:t>
      </w:r>
    </w:p>
    <w:p>
      <w:pPr>
        <w:spacing w:after="0" w:line="112"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2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2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57"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transaction fee per cancellation request (including any cancellation request made through SWIFT, facsimile transmission or any other method of communication) as disclosed on the “Disclosures” page (or successor page) of </w:t>
      </w:r>
      <w:r>
        <w:rPr>
          <w:rFonts w:ascii="Times New Roman" w:cs="Times New Roman" w:eastAsia="Times New Roman" w:hAnsi="Times New Roman"/>
          <w:sz w:val="18"/>
          <w:szCs w:val="18"/>
          <w:u w:val="single" w:color="auto"/>
          <w:color w:val="auto"/>
        </w:rPr>
        <w:t>www.adr.com</w:t>
      </w:r>
      <w:r>
        <w:rPr>
          <w:rFonts w:ascii="Times New Roman" w:cs="Times New Roman" w:eastAsia="Times New Roman" w:hAnsi="Times New Roman"/>
          <w:sz w:val="18"/>
          <w:szCs w:val="18"/>
          <w:color w:val="auto"/>
        </w:rPr>
        <w:t xml:space="preserve"> (as updated by the depositary from time to time, “</w:t>
      </w:r>
      <w:r>
        <w:rPr>
          <w:rFonts w:ascii="Times New Roman" w:cs="Times New Roman" w:eastAsia="Times New Roman" w:hAnsi="Times New Roman"/>
          <w:sz w:val="18"/>
          <w:szCs w:val="18"/>
          <w:u w:val="single" w:color="auto"/>
          <w:color w:val="auto"/>
        </w:rPr>
        <w:t>ADR.com</w:t>
      </w:r>
      <w:r>
        <w:rPr>
          <w:rFonts w:ascii="Times New Roman" w:cs="Times New Roman" w:eastAsia="Times New Roman" w:hAnsi="Times New Roman"/>
          <w:sz w:val="18"/>
          <w:szCs w:val="18"/>
          <w:color w:val="auto"/>
        </w:rPr>
        <w:t>”) and any applicable delivery expenses (which are payable by such persons or holders);</w:t>
      </w:r>
    </w:p>
    <w:p>
      <w:pPr>
        <w:spacing w:after="0" w:line="1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expenses for the registration or transfer of deposited securities on any applicable register in connection with the deposit or withdrawal of deposited securities (which are payable by persons depositing shares or holders withdrawing deposited securities);</w:t>
      </w:r>
    </w:p>
    <w:p>
      <w:pPr>
        <w:spacing w:after="0" w:line="108"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into U.S. dollars, by the depositary shall deduct out of such foreign currency the fees, expenses and other charges charged by it and/or its agent (which may be a division, branch or affiliate) so appointed in connection with such conversion; and</w:t>
      </w:r>
    </w:p>
    <w:p>
      <w:pPr>
        <w:spacing w:after="0" w:line="10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has agreed to reimburse us for our expenses incurred in connection with the establishment of our ADS facility including, investor relations expenses, roadshow expenses, legal fees, stock exchange listing fees or any direct or indirect expenses incurred in connection with the establishment of the facility. The depositary has also agreed to provide additional reimbursements to us based on the applicable performance indicators relating to our ADS facility, including ADS issuance and cancellation fees, cash dividend fees and depositary servicing fees. In addition, the depositary has agreed to waive the issuance fees for ADSs issued (i) in connection with our follow-on equity offerings, (ii) to our founders and senior management, and (iii) in connection with our employee incentive plans. In 2025, reimbursement from JPMorgan Chase Bank, N.A. was US$0.5 million (after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including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our management concluded that our internal control over financial reporting was effective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Zhong Tian LLP, has audited the effectiveness of our internal control over financial reporting as of December 31, 2025 as stated in its report, which appears on page F-1 of this annual report on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occurred during the period covered by this annual report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Jenny Wenjie Wu, our independent director (under the standards set forth in Rule 5605(a)(2) of the Nasdaq Listing Rules and Rule 10A-3 under the Securities Exchange Act of 1934), is an audit committee financial expert.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2014, our board of directors adopted a code of business conduct and ethics that applies to our directors, officers and employees, including certain provisions that specifically apply to our chief executive officer, chief financial officer, other executive officers as defined under Rule 405 under the Securities Act of 1933, as amended, senior finance officer, controller, senior vice presidents and any other persons who perform similar functions for us. The code is also available on our official website under the corporate governance section at our investor relations website http://ir.xunlei.com.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chairman and chief executive officer, Mr. Jinbo Li, currently also serves as the chairman and chief executive officer of Itui International Inc., our shareholder holding approximately 41.8% of our outstanding share capital as of March 31, 2026. Mr. Jinbo Li is the founder and a shareholder of Itui International Inc. Section III of our code of business conduct and ethics provides that no employee shall serve on a board of directors or trustees or on a committee of any entity (whether profit or not-for-profit) whose interests could reasonably be expected to conflict with those of our company. Employees must obtain prior approval from the board of directors before accepting any such board or committee position. Our company may revisit its approval of any such position at any time to determine whether an employee’s service in such position is still appropriate. Section III also provides that no employee may have any financial interest (ownership or otherwise) in any other business or entity if such interest requires the employee to devote time to it during such employee’s working hours at our company. On April 11, 2020, our board of directors granted Mr. Jinbo Li a waiver from compliance with the above provisions of our code of business conduct and ethics so that Mr. Jinbo Li is able to simultaneously serve as the chairman and the chief executive officer at both our company and Itui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our principal external auditors,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4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3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879,508</w:t>
            </w:r>
          </w:p>
        </w:tc>
      </w:tr>
      <w:tr>
        <w:trPr>
          <w:trHeight w:val="216"/>
        </w:trPr>
        <w:tc>
          <w:tcPr>
            <w:tcW w:w="7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4"/>
        </w:trPr>
        <w:tc>
          <w:tcPr>
            <w:tcW w:w="248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21" w:lineRule="exact"/>
        <w:rPr>
          <w:sz w:val="20"/>
          <w:szCs w:val="20"/>
          <w:color w:val="auto"/>
        </w:rPr>
      </w:pPr>
    </w:p>
    <w:p>
      <w:pPr>
        <w:ind w:left="340" w:hanging="332"/>
        <w:spacing w:after="0" w:line="298" w:lineRule="auto"/>
        <w:tabs>
          <w:tab w:leader="none" w:pos="3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represents the aggregate fees billed for each of the fiscal years listed for professional services rendered by our principal accountant for the audit or review of our annual financial statements or quarterly financial information and review of documents filed with the SEC.</w:t>
      </w:r>
    </w:p>
    <w:p>
      <w:pPr>
        <w:spacing w:after="0" w:line="164"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represents the aggregate fees incurred in each of the fiscal years listed as a result of our principal auditors’ issuance of consent letter related to our registration of securities on Form S-8.</w:t>
      </w:r>
    </w:p>
    <w:p>
      <w:pPr>
        <w:spacing w:after="0" w:line="164"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represents the aggregate fees billed in each of the fiscal years listed for products and services provided by our principal accountant, other than the services reported in “audit fees” and “audit-related fees” above.</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auditor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4, 2024, our board of directors authorized a share repurchase program, under which we may repurchase up to US$20 million of our shares until June 2025. The table below is a summary of the shares repurchased by us in 2025 under this share repurchase program, all of which were repurchased in the open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3"/>
                <w:szCs w:val="13"/>
                <w:color w:val="auto"/>
              </w:rPr>
            </w:pPr>
          </w:p>
        </w:tc>
        <w:tc>
          <w:tcPr>
            <w:tcW w:w="1360" w:type="dxa"/>
            <w:vAlign w:val="bottom"/>
            <w:gridSpan w:val="2"/>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 as</w:t>
            </w:r>
          </w:p>
        </w:tc>
        <w:tc>
          <w:tcPr>
            <w:tcW w:w="1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ADSs that May Yet</w:t>
            </w:r>
          </w:p>
        </w:tc>
        <w:tc>
          <w:tcPr>
            <w:tcW w:w="0" w:type="dxa"/>
            <w:vAlign w:val="bottom"/>
          </w:tcPr>
          <w:p>
            <w:pPr>
              <w:spacing w:after="0"/>
              <w:rPr>
                <w:sz w:val="1"/>
                <w:szCs w:val="1"/>
                <w:color w:val="auto"/>
              </w:rPr>
            </w:pPr>
          </w:p>
        </w:tc>
      </w:tr>
      <w:tr>
        <w:trPr>
          <w:trHeight w:val="149"/>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Part of the Publicly</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 Announced Plan</w:t>
            </w:r>
          </w:p>
        </w:tc>
        <w:tc>
          <w:tcPr>
            <w:tcW w:w="240" w:type="dxa"/>
            <w:vAlign w:val="bottom"/>
            <w:gridSpan w:val="2"/>
            <w:vMerge w:val="continue"/>
          </w:tcPr>
          <w:p>
            <w:pPr>
              <w:spacing w:after="0"/>
              <w:rPr>
                <w:sz w:val="15"/>
                <w:szCs w:val="15"/>
                <w:color w:val="auto"/>
              </w:rPr>
            </w:pPr>
          </w:p>
        </w:tc>
        <w:tc>
          <w:tcPr>
            <w:tcW w:w="11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 2025 - January 31, 2025</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430,262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3,261,267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13,505,048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13,493,292</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434,939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3,265,944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13,493,292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640" w:type="dxa"/>
            <w:vAlign w:val="bottom"/>
          </w:tcPr>
          <w:p>
            <w:pPr>
              <w:spacing w:after="0"/>
              <w:rPr>
                <w:sz w:val="24"/>
                <w:szCs w:val="24"/>
                <w:color w:val="auto"/>
              </w:rPr>
            </w:pPr>
          </w:p>
        </w:tc>
        <w:tc>
          <w:tcPr>
            <w:tcW w:w="118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Cayman Islands company listed on the Nasdaq Global Select Market, we are subject to the corporate governance standards under the Nasdaq Stock Market Rules. Under Nasdaq Stock Market Rule 5615(a)(3), a foreign private issuer such as us may follow its home-country corporate governance practices in lieu of certain of the Nasdaq Stock Market Rules corporate governance requirements. We strive to comply with most of the Nasdaq corporate governance practices to ensure a high standard of corporate governance. However, our current corporate governance practices differ from Nasdaq corporate governance requirements for U.S. companies in certain respects, as summarized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Nasdaq Marketplace Rule 5620(a) requires each issuer to hold an annual meeting of shareholders no later than one year after the end of the issuer’s fiscal year-end. The practices of our home country, the Cayman Islands, do not require us to hold annual shareholders meetings every year. We have elected to adopt this practice and did not hold an annual meeting of shareholders for fiscal year 2025. We have not decided whether or not to hold annual shareholders meetings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Nasdaq Stock Market Rule 5605(b)(1) requires a Nasdaq-listed company to have a board of directors composed of at least a majority of independent directors. The practices of our home country, the Cayman Islands, do not require us to have a majority of the board of directors composed of independent directors at this time. We have elected to adopt this practice and do not have a board of directors composed of at least a majority of independent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Nasdaq Stock Market Rule 5605(c)(2) requires a Nasdaq-listed company to have an audit committee composed of at least three independent members. The practices of our home country, the Cayman Islands, do not require us to have a three-member audit committee at this time. We have elected to adopt this practice and have an audit committee composed of two independent members.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Nasdaq Stock Market Rule 5605(e)(1) requires a Nasdaq-listed company to have a nominations committee composed solely of independent directors to select or recommend for selection director nominees. The practices of our home country, the Cayman Islands, do not require that any of the members of a company’s nominations committee be independent directors. We have elected to adopt this practice in order to utilize the experience of Mr. Yubo Zhang and our nominating and corporate governance committee is not composed solely of independent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Nasdaq Stock Market Rule 5605(d)(2) requires a Nasdaq-listed company to have a compensation committee composed solely of independent directors. The practices of our home country, the Cayman Islands, do not require that any of the members of a company’s compensation committee be independent directors. We have elected to adopt this practice in order to utilize the experience of Mr. Jinbo Li and our compensation committee is not composed solely of independent directors.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Nasdaq Stock Market Rule 5635(c) requires that a Nasdaq-listed company seek shareholder approval when it establishes or materially amends a stock option or purchase plan or other arrangement pursuant to which stock may be acquired by officers, directors, employees or consultants. The practices of our home country, the Cayman Islands, do not require that our shareholder approve the establishment or material amendment to a stock option or purchase plan or other arrangement pursuant to which stock may be acquired by officers, directors, employees or consultants. We have elected to adopt this practice and have adopted the Second Amended and Restated 2020 Share Incentive Plan without seeking the approval of our shareholders.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Cayman Islands counsel, has provided a letter to the Nasdaq Stock Market certifying that under Cayman Islands law, we are not required to follow the above corporate governance standards.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above, there are no significant differences between our corporate governance practices and those followed by U.S. domestic companies under Nasdaq Stock Market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Nasdaq.</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is filed as Exhibit 11.2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IT department regularly monitors the performance of our platforms, apps and infrastructure to enable us to respond quickly to potential problems, including potential cybersecurity threats.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is responsible for overseeing the cybersecurity risk management and be informed on risks from cybersecurity threats. The chief executive officer, the chief financial officer and the principal officer in charge of the cybersecurity matters, who have extensive experience in working in the field of cybersecurity, with expertise in cybersecurity risk management and compliance, are responsible for discussing material cybersecurity incidents or threats with specific constituencies before sign - off, ensuring thorough review of information and disclosures. This involves our disclosure committee (comprising of our chief financial officer, the investor relations officer, the principal officer in charge of the cybersecurity matters and appropriate business unit heads of our company), as a whole, and the board of directors of our company; and other members of senior management and external legal counsel, to the extent appropriate. The chief executive officer, the chief financial officer and the principal officer in charge of the cybersecurity matters are also responsible for assessing, identifying and managing material risks from cybersecurity threats to our company and monitoring the prevention, detection, mitigation and remediation of material cybersecurity incident, maintaining oversight of the disclosure in Form 6-K for material cybersecurity incidents (if any) and meeting with our board of directors in connection with (i) each quarterly earnings release, update the status of any material cybersecurity incidents or material risks from cybersecurity threats to our company, if any, and the relevant disclosure issues and (ii) each annual report, present the disclosure concerning cybersecurity matters in Form 20-F, along with a report highlighting particular disclosure issues, if any, and hold a Q&amp;A session. Our board of directors is responsible for maintaining oversight of the disclosure related to cybersecurity matters in the periodic reports of our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Xunlei Limited, its subsidiaries and the variable interest entities and their subsidiaries are included at the end of this annual report.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20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0" w:type="dxa"/>
            <w:vAlign w:val="bottom"/>
          </w:tcPr>
          <w:p>
            <w:pPr>
              <w:spacing w:after="0"/>
              <w:rPr>
                <w:sz w:val="24"/>
                <w:szCs w:val="24"/>
                <w:color w:val="auto"/>
              </w:rPr>
            </w:pPr>
          </w:p>
        </w:tc>
        <w:tc>
          <w:tcPr>
            <w:tcW w:w="862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80" w:type="dxa"/>
            <w:vAlign w:val="bottom"/>
          </w:tcPr>
          <w:p>
            <w:pPr>
              <w:spacing w:after="0"/>
              <w:rPr>
                <w:sz w:val="21"/>
                <w:szCs w:val="21"/>
                <w:color w:val="auto"/>
              </w:rPr>
            </w:pPr>
          </w:p>
        </w:tc>
        <w:tc>
          <w:tcPr>
            <w:tcW w:w="862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 of Document</w:t>
            </w:r>
          </w:p>
        </w:tc>
      </w:tr>
      <w:tr>
        <w:trPr>
          <w:trHeight w:val="405"/>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tcBorders>
              <w:top w:val="single" w:sz="8" w:color="auto"/>
              <w:bottom w:val="single" w:sz="8" w:color="0000EE"/>
            </w:tcBorders>
            <w:gridSpan w:val="15"/>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Eighth amended and restated memorandum and seventh amended and restated articles of association of the</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Registrant (incorporated by reference to Exhibit 3.2 of our registration statement on Form F-1, as amended (file no.</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333-196221), filed with the SEC on June 12, 2014)</w:t>
              </w:r>
            </w:hyperlink>
          </w:p>
        </w:tc>
        <w:tc>
          <w:tcPr>
            <w:tcW w:w="47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Registrant’s specimen American depositary receipt (included in Exhibit 2.3)</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Registrant’s specimen certificate for common shares (incorporated by reference to Exhibit 4.2 of our registration</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statement on Form F-1, as amended (file no. 333-196221), filed with the SEC on June 12, 2014)</w:t>
              </w:r>
            </w:hyperlink>
          </w:p>
        </w:tc>
        <w:tc>
          <w:tcPr>
            <w:tcW w:w="1520" w:type="dxa"/>
            <w:vAlign w:val="bottom"/>
            <w:gridSpan w:val="3"/>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Amended and restated deposit agreement among the Registrant, the depositary and holders of American depositary</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receipts, dated December 31, 2024 (incorporated by reference to Exhibit 99(a) of the registration statement on Form</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F-6 (file no. 333-283769), filed with the SEC on December 12, 2024).</w:t>
              </w:r>
            </w:hyperlink>
          </w:p>
        </w:tc>
        <w:tc>
          <w:tcPr>
            <w:tcW w:w="3400" w:type="dxa"/>
            <w:vAlign w:val="bottom"/>
            <w:gridSpan w:val="7"/>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Second Amended and Restated 2020 Share Incentive Plan (incorporated by reference to Exhibit 10.1 of our</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registration statement on Form S-8 (file no. 333-281272) filed with the SEC on August 6, 2024)</w:t>
              </w:r>
            </w:hyperlink>
          </w:p>
        </w:tc>
        <w:tc>
          <w:tcPr>
            <w:tcW w:w="1540" w:type="dxa"/>
            <w:vAlign w:val="bottom"/>
            <w:gridSpan w:val="4"/>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indemnification agreement with the Registrant’s directors and officers (incorporated by reference to Exhibit</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7</w:t>
              </w:r>
              <w:r>
                <w:rPr>
                  <w:rFonts w:ascii="Times New Roman" w:cs="Times New Roman" w:eastAsia="Times New Roman" w:hAnsi="Times New Roman"/>
                  <w:sz w:val="18"/>
                  <w:szCs w:val="18"/>
                  <w:color w:val="0000EE"/>
                  <w:w w:val="99"/>
                </w:rPr>
                <w:t xml:space="preserve"> of our registration statement on Form F-1 (file no. 333-196221) filed with the SEC on June 12, 2014)</w:t>
              </w:r>
            </w:hyperlink>
          </w:p>
        </w:tc>
        <w:tc>
          <w:tcPr>
            <w:tcW w:w="800" w:type="dxa"/>
            <w:vAlign w:val="bottom"/>
            <w:gridSpan w:val="2"/>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employment agreement between the Registrant and Executive Officers of the Registrant (incorporated by</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reference to Exhibit 10.8 of our registration statement on Form F-1 (file no. 333-196221) filed with the SEC on June</w:t>
              </w:r>
            </w:hyperlink>
          </w:p>
        </w:tc>
      </w:tr>
      <w:tr>
        <w:trPr>
          <w:trHeight w:val="196"/>
        </w:trPr>
        <w:tc>
          <w:tcPr>
            <w:tcW w:w="7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12, 2014)</w:t>
              </w:r>
            </w:hyperlink>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English translation of business operation agreement among Giganology Shenzhen, Shenzhen Xunlei and the</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shareholders of Shenzhen Xunlei, dated November 15, 2006, as amended on March 1, 2012 and further amended on</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September 29, 2016 (incorporated by reference to Exhibit 4.15 of our annual report on Form 20-F (file no. 001-</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35224) filed with the SEC on April 20, 2017)</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English translation of equity pledge agreement among Giganology Shenzhen and the shareholders of Shenzhen</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Xunlei dated November 15, 2006, as amended on May 10, 2011, March 1, 2012 and March 10, 2014 (incorporated</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by reference to Exhibit 10.10 of our registration statement on Form F-1 (file no. 333-196221) filed with the SEC on</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May 23, 2014)</w:t>
              </w:r>
            </w:hyperlink>
          </w:p>
        </w:tc>
        <w:tc>
          <w:tcPr>
            <w:tcW w:w="73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English translation of power of attorney between Giganology Shenzhen and Shenglong Zou, dated May 10, 2011</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(incorporated by reference to Exhibit 10.11 of our registration statement on Form F-1 (file no. 333-196221) filed</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with the SEC on May 23, 2014)</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English translation of power of attorney between Giganology Shenzhen and Hao Cheng, dated May 10, 2011</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(incorporated by reference to Exhibit 10.12 of our registration statement on Form F-1 (file no. 333-196221) filed</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with the SEC on May 23, 2014)</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English translation of power of attorney between Giganology Shenzhen and Fang Wang, dated May 10, 2011</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(incorporated by reference to Exhibit 10.13 of our registration statement on Form F-1 (file no. 333-196221) filed</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with the SEC on May 23, 2014)</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English translation of power of attorney between Giganology Shenzhen and Jianming Shi, dated May 10, 2011</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(incorporated by reference to Exhibit 10.14 of our registration statement on Form F-1 (file no. 333-196221) filed</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with the SEC on May 23, 2014)</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English translation of power of attorney between Giganology Shenzhen and Guangzhou Shulian Information</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Investment Co., Ltd., dated May 10, 2011 (incorporated by reference to Exhibit 10.15 of our registration statement</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on Form F-1 (file no. 333-196221) filed with the SEC on May 23, 2014)</w:t>
              </w:r>
            </w:hyperlink>
          </w:p>
        </w:tc>
        <w:tc>
          <w:tcPr>
            <w:tcW w:w="3240" w:type="dxa"/>
            <w:vAlign w:val="bottom"/>
            <w:gridSpan w:val="6"/>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exclusive technical support and services agreement between Giganology Shenzhen and</w:t>
            </w:r>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Shenzhen Xunlei, dated September 16, 2005, as amended on November 15, 2006, March 10, 2014 and September</w:t>
            </w:r>
          </w:p>
        </w:tc>
      </w:tr>
      <w:tr>
        <w:trPr>
          <w:trHeight w:val="196"/>
        </w:trPr>
        <w:tc>
          <w:tcPr>
            <w:tcW w:w="7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15, 2025</w:t>
            </w: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exclusive technology consulting and training agreement between Giganology Shenzhen and</w:t>
            </w:r>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Shenzhen Xunlei, dated September 16, 2005, as amended on November 15, 2006, March 10, 2014 and September</w:t>
            </w:r>
          </w:p>
        </w:tc>
      </w:tr>
      <w:tr>
        <w:trPr>
          <w:trHeight w:val="196"/>
        </w:trPr>
        <w:tc>
          <w:tcPr>
            <w:tcW w:w="7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15, 2025</w:t>
            </w: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English translation of proprietary technology license contract between Giganology Shenzhen and Shenzhen Xunlei,</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tcBorders>
              <w:right w:val="single" w:sz="8" w:color="0000EE"/>
            </w:tcBorders>
            <w:gridSpan w:val="7"/>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dated March 1, 2012 (incorporated by reference to Exhibit 10.18 of our registration statement on Form F-1 (file no.</w:t>
              </w:r>
            </w:hyperlink>
          </w:p>
        </w:tc>
      </w:tr>
      <w:tr>
        <w:trPr>
          <w:trHeight w:val="196"/>
        </w:trPr>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1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333 - 196221) filed with the SEC on May 23, 2014)</w:t>
              </w:r>
            </w:hyperlink>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864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864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 of Document</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40" w:type="dxa"/>
            <w:vAlign w:val="bottom"/>
            <w:tcBorders>
              <w:top w:val="single" w:sz="8" w:color="auto"/>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English translation of intellectual properties purchase option agreement between Giganology Shenzhen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Shenzhen Xunlei dated March 1, 2012, as amended on March 10, 2014 (incorporated by reference to Exhibit 10.19</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of our registration statement on Form F-1 (file no. 333-196221) filed with the SEC on May 23, 2014)</w:t>
              </w:r>
            </w:hyperlink>
          </w:p>
        </w:tc>
        <w:tc>
          <w:tcPr>
            <w:tcW w:w="114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English translation of loan agreement among Giganology Shenzhen, Guangzhou Shulian Information Investment</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Co., Ltd., Sean Shenglong Zou, Hao Cheng, Fang Wang and Jianming Shi, dated December 22, 2010, as amended on</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March 1, 2012 and March 10, 2014 (incorporated by reference to Exhibit 10.20 of our registration statement on Form</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F-1 (file no. 333-196221) filed with the SEC on May 23, 2014)</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English translation of loan agreement between Giganology Shenzhen and Sean Shenglong Zou, dated May 10, 2011,</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as amended on March 1, 2012 (incorporated by reference to Exhibit 10.21 of our registration statement on Form F-1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(file no. 333-196221) filed with the SEC on May 23, 2014)</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English translation of the Facility Agreement dated September 9, 2021 between CHIZZ (HK) LIMITED and Xunlei</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Network Technologies Limited (incorporated by reference to Exhibit 4.44 of our annual report on Form 20-F (file</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no. 001-35224) filed with the SEC on April 28, 2022)</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English translation of the Supplementary Agreement to Proprietary Technology License Agreement dated March 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2022 between Giganology (Shenzhen) Ltd. and Shenzhen Xunlei Networking Technologies Co., Ltd. (incorporated</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by reference to Exhibit 4.45 of our annual report on Form 20-F (file no. 001-35224) filed with the SEC on April 28,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211">
              <w:r>
                <w:rPr>
                  <w:rFonts w:ascii="Times New Roman" w:cs="Times New Roman" w:eastAsia="Times New Roman" w:hAnsi="Times New Roman"/>
                  <w:sz w:val="18"/>
                  <w:szCs w:val="18"/>
                  <w:color w:val="0000EE"/>
                  <w:w w:val="90"/>
                </w:rPr>
                <w:t>2022)</w:t>
              </w:r>
            </w:hyperlink>
          </w:p>
        </w:tc>
        <w:tc>
          <w:tcPr>
            <w:tcW w:w="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English translation of Power of Attorney between Giganology Shenzhen and Shenglong Zou, dated May 11, 2021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(incorporated by reference to Exhibit 4.46 of our annual report on Form 20-F (file no. 001-35224) filed with the SEC</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on April 28, 2022)</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English translation of Power of Attorney between Giganology Shenzhen and Hao Cheng, dated May 10, 2021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(incorporated by reference to Exhibit 4.47 of our annual report on Form 20-F (file no. 001-35224) filed with the SEC</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on April 28, 2022)</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English translation of Power of Attorney between Giganology Shenzhen and Fang Wang, dated May 10, 2021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(incorporated by reference to Exhibit 4.48 of our annual report on Form 20-F (file no. 001-35224) filed with the SEC</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on April 28, 2022)</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English translation of Power of Attorney between Giganology Shenzhen and Jianming Shi, dated May 10, 2021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(incorporated by reference to Exhibit 4.49 of our annual report on Form 20-F (file no. 001-35224) filed with the SEC</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on April 28, 2022)</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English translation of Power of Attorney between Giganology Shenzhen and Guangzhou Shulian Information</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Investment Co., Ltd., dated May 10, 2021 (incorporated by reference to Exhibit 4.50 of our annual report on Form</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20-F (file no. 001-35224) filed with the SEC on April 28, 2022)</w:t>
              </w:r>
            </w:hyperlink>
          </w:p>
        </w:tc>
        <w:tc>
          <w:tcPr>
            <w:tcW w:w="382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English translation of technology development and software license framework agreement between Shenzhen Xunlei</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and Xunlei Computer dated January 1, 2020 (incorporated by reference to Exhibit 4.51 of our annual report on Form</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20-F (file no. 001-35224) filed with the SEC on April 28, 2022)</w:t>
              </w:r>
            </w:hyperlink>
          </w:p>
        </w:tc>
        <w:tc>
          <w:tcPr>
            <w:tcW w:w="3860" w:type="dxa"/>
            <w:vAlign w:val="bottom"/>
            <w:gridSpan w:val="5"/>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Supplemental Facility Agreement dated September 14, 2023 between CHIZZ (HK) LIMITED and Xunlei Network</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Technologies Limited (incorporated by reference to Exhibit 4.25 of our annual report on Form 20-F (file no. 001-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35224) filed with the SEC on April 23, 2024)</w:t>
              </w:r>
            </w:hyperlink>
          </w:p>
        </w:tc>
        <w:tc>
          <w:tcPr>
            <w:tcW w:w="40" w:type="dxa"/>
            <w:vAlign w:val="bottom"/>
            <w:gridSpan w:val="2"/>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English translation of the merger agreement dated January 26, 2025 among by and among Shenzhen Suqu Network</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60" w:type="dxa"/>
            <w:vAlign w:val="bottom"/>
            <w:tcBorders>
              <w:right w:val="single" w:sz="8" w:color="0000EE"/>
            </w:tcBorders>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Technology Co., Ltd., Shanghai Kuanghui Network Technology Co., Ltd., and the shareholders of Shanghai</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Kuanghui Network Technology Co., Ltd. (incorporated by reference to Exhibit 4.28 of our annual report on Form</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20-F (file no. 001-35224) filed with the SEC on April 24, 2025)</w:t>
              </w:r>
            </w:hyperlink>
          </w:p>
        </w:tc>
        <w:tc>
          <w:tcPr>
            <w:tcW w:w="382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English translation of the credit agreement dated July 9, 2024 between Shenzhen Xunlei Network Technology Co.,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Ltd. and China Merchants Bank Shenzhen Branch (incorporated by reference to Exhibit 4.30 of our annual report on</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20-F (file no. 001-35224) filed with the SEC on April 24, 2025)</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60" w:type="dxa"/>
            <w:vAlign w:val="bottom"/>
            <w:tcBorders>
              <w:right w:val="single" w:sz="8" w:color="0000EE"/>
            </w:tcBorders>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English translation of the Technology Development and Software License Framework Agreement dated January 1,</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2025 between Xunlei Computer (Shenzhen) Co., Ltd. and Shenzhen Xunlei Networking Technologies Co., Ltd.</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(incorporated by reference to Exhibit 4.31 of our annual report on Form 20-F (file no. 001-35224) filed with the SEC</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on April 24, 2025)</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Certificate of Credit Line dated April 27, 2025 between Bank of Ningbo Co., Ltd. and</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Shenzhen Xunlei Networking Technologies Co., Ltd.</w:t>
            </w:r>
          </w:p>
        </w:tc>
      </w:tr>
      <w:tr>
        <w:trPr>
          <w:trHeight w:val="66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60" w:type="dxa"/>
            <w:vAlign w:val="bottom"/>
            <w:tcBorders>
              <w:top w:val="single" w:sz="8" w:color="0000EE"/>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862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862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 of Document</w:t>
            </w:r>
          </w:p>
        </w:tc>
      </w:tr>
      <w:tr>
        <w:trPr>
          <w:trHeight w:val="175"/>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4.30*</w:t>
            </w: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40" w:type="dxa"/>
            <w:vAlign w:val="bottom"/>
            <w:tcBorders>
              <w:top w:val="single" w:sz="8" w:color="auto"/>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English translation of the Credit Agreement dated August 13, 2025 between China Merchants Bank Shenzhen</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Branch and Shenzhen Xunlei Networking Technologies Co., Ltd.</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Credit Line Agreement dated May 12, 2025 between Shenzhen Xunlei Networking</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Technologies Co., Ltd. and Shanghai Pudong Development Bank Co., Ltd., Shenzhen Branch</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Equity Transfer Agreement entered into by and among Shenzhen Onething Technology Co., Ltd., Shenzhen Xunlei</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Networking Technologies Co., Ltd., Wuhan Kingsoft Cloud Information Technology Co., Ltd. and Shenzhen</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Xinghan Zhilian Technology Co., Ltd., among others, dated March 3, 2026</w:t>
            </w:r>
          </w:p>
        </w:tc>
        <w:tc>
          <w:tcPr>
            <w:tcW w:w="3040" w:type="dxa"/>
            <w:vAlign w:val="bottom"/>
            <w:gridSpan w:val="15"/>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Shareholders’ Agreement entered into by and among Shenzhen Onething Technology Co., Ltd., Shenzhen Xunlei</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Networking Technologies Co., Ltd., Wuhan Kingsoft Cloud Information Technology Co., Ltd. and Shenzhen</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Xinghan Zhilian Technology Co., Ltd., among others, dated March 3, 2026</w:t>
            </w:r>
          </w:p>
        </w:tc>
        <w:tc>
          <w:tcPr>
            <w:tcW w:w="3040" w:type="dxa"/>
            <w:vAlign w:val="bottom"/>
            <w:gridSpan w:val="15"/>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loan agreement between Xunlei Computer (Shenzhen) Co., Ltd. and Mr. Kening Wu dated</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February 27, 2025</w:t>
            </w:r>
          </w:p>
        </w:tc>
        <w:tc>
          <w:tcPr>
            <w:tcW w:w="710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loan agreement between Xunlei Computer (Shenzhen) Co., Ltd. and Mr. Xiaosong Li dated</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February 27, 2025</w:t>
            </w:r>
          </w:p>
        </w:tc>
        <w:tc>
          <w:tcPr>
            <w:tcW w:w="710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loan agreement between Xunlei Computer (Shenzhen) Co., Ltd. and Mr. Kening Wu dated</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February 20, 2025</w:t>
            </w:r>
          </w:p>
        </w:tc>
        <w:tc>
          <w:tcPr>
            <w:tcW w:w="710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exclusive option agreement by and among Xunlei Computer (Shenzhen) Co., Ltd., Mr.</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Xiaosong Li and Shenzhen Zhilue Xinsi Consulting Co., Ltd. dated February 27, 2025</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exclusive option agreement by and among Xunlei Computer (Shenzhen) Co., Ltd., Mr.</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Kening Wu and Shenzhen Zhilue Xinsi Consulting Co., Ltd. dated February 27, 2025</w:t>
            </w:r>
          </w:p>
        </w:tc>
        <w:tc>
          <w:tcPr>
            <w:tcW w:w="2240" w:type="dxa"/>
            <w:vAlign w:val="bottom"/>
            <w:gridSpan w:val="11"/>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exclusive option agreement by and among Xunlei Computer (Shenzhen) Co., Ltd., Mr.</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Kening Wu and Shenzhen Zhiyi Wensi Consulting Partnership (Limited Partnership) dated February 20, 2022</w:t>
            </w:r>
          </w:p>
        </w:tc>
        <w:tc>
          <w:tcPr>
            <w:tcW w:w="540" w:type="dxa"/>
            <w:vAlign w:val="bottom"/>
            <w:gridSpan w:val="2"/>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exclusive business cooperation agreement by and between Xunlei Computer (Shenzhen)</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 Ltd. and Shenzhen Suqu Network Technology Co., Ltd. dated May 1, 2022</w:t>
            </w:r>
          </w:p>
        </w:tc>
        <w:tc>
          <w:tcPr>
            <w:tcW w:w="2700" w:type="dxa"/>
            <w:vAlign w:val="bottom"/>
            <w:gridSpan w:val="13"/>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exclusive business cooperation agreement by and between Xunlei Computer (Shenzhen)</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 Ltd. and Shenzhen Zhiyi Wensi Consulting Partnership (Limited Partnership) dated May 1, 2022</w:t>
            </w:r>
          </w:p>
        </w:tc>
        <w:tc>
          <w:tcPr>
            <w:tcW w:w="1140" w:type="dxa"/>
            <w:vAlign w:val="bottom"/>
            <w:gridSpan w:val="6"/>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exclusive business cooperation agreement by and between Xunlei Computer (Shenzhen)</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 Ltd. and Shenzhen Zhilue Xinsi Consulting Co., Ltd. dated May 1, 2022</w:t>
            </w:r>
          </w:p>
        </w:tc>
        <w:tc>
          <w:tcPr>
            <w:tcW w:w="2900" w:type="dxa"/>
            <w:vAlign w:val="bottom"/>
            <w:gridSpan w:val="14"/>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equity pledge agreement by and among Xunlei Computer (Shenzhen) Co., Ltd., Mr.</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Xiaosong Li and Shenzhen Zhilue Xinsi Consulting Co., Ltd. dated February 27, 2025</w:t>
            </w:r>
          </w:p>
        </w:tc>
        <w:tc>
          <w:tcPr>
            <w:tcW w:w="20" w:type="dxa"/>
            <w:vAlign w:val="bottom"/>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equity pledge agreement by and among Xunlei Computer (Shenzhen) Co., Ltd., Mr.</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Kening Wu and Shenzhen Zhilue Xinsi Consulting Co., Ltd. dated February 27, 2025</w:t>
            </w:r>
          </w:p>
        </w:tc>
        <w:tc>
          <w:tcPr>
            <w:tcW w:w="22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partnership interest pledge agreement by and among Xunlei Computer (Shenzhen) Co.,</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Ltd., Mr. Kening Wu and Shenzhen Zhiyi Wensi Consulting Partnership (Limited Partnership) dated February 20,</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2025</w:t>
            </w:r>
          </w:p>
        </w:tc>
        <w:tc>
          <w:tcPr>
            <w:tcW w:w="9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power of attorney by Mr. Kening Wu dated February 27, 2025</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English translation of the power of attorney by Mr. Xiaosong Li dated February 27, 2025</w:t>
            </w:r>
          </w:p>
        </w:tc>
        <w:tc>
          <w:tcPr>
            <w:tcW w:w="2040" w:type="dxa"/>
            <w:vAlign w:val="bottom"/>
            <w:gridSpan w:val="9"/>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English translation of the power of attorney by Mr. Kening Wu dated February 20, 2025</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List of principal subsidiaries, the VIEs and principal subsidiaries of the VIEs of the Registrant</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Code of business conduct and ethics of the Registrant (incorporated by reference to Exhibit 99.1 of our Registration</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Statement on Form F-1 (file no. 333-196221) filed with the SEC on June 12, 2014)</w:t>
              </w:r>
            </w:hyperlink>
          </w:p>
        </w:tc>
        <w:tc>
          <w:tcPr>
            <w:tcW w:w="20" w:type="dxa"/>
            <w:vAlign w:val="bottom"/>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Amended and Restated Statement of Policies Governing Material, Non-Public Information and the Prevention of</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Insider Trading of the Registrant (incorporated by reference to Exhibit 11.2 of our annual report on Form 20-F (file</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no. 001-35224) filed with the SEC on April 24, 2025)</w:t>
              </w:r>
            </w:hyperlink>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980" w:type="dxa"/>
            <w:vAlign w:val="bottom"/>
            <w:gridSpan w:val="3"/>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1020" w:type="dxa"/>
            <w:vAlign w:val="bottom"/>
            <w:gridSpan w:val="4"/>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980" w:type="dxa"/>
            <w:vAlign w:val="bottom"/>
            <w:gridSpan w:val="3"/>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Maples and Calder (Hong Kong) LLP</w:t>
            </w:r>
          </w:p>
        </w:tc>
        <w:tc>
          <w:tcPr>
            <w:tcW w:w="3840" w:type="dxa"/>
            <w:vAlign w:val="bottom"/>
            <w:tcBorders>
              <w:top w:val="single" w:sz="8" w:color="0000EE"/>
            </w:tcBorders>
            <w:gridSpan w:val="13"/>
          </w:tcPr>
          <w:p>
            <w:pPr>
              <w:spacing w:after="0"/>
              <w:rPr>
                <w:sz w:val="17"/>
                <w:szCs w:val="17"/>
                <w:color w:val="auto"/>
              </w:rPr>
            </w:pPr>
          </w:p>
        </w:tc>
        <w:tc>
          <w:tcPr>
            <w:tcW w:w="1040" w:type="dxa"/>
            <w:vAlign w:val="bottom"/>
            <w:gridSpan w:val="5"/>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Kewei Law Firm</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Zhong Tian LLP, an independent registered public accounting firm</w:t>
            </w:r>
          </w:p>
        </w:tc>
      </w:tr>
      <w:tr>
        <w:trPr>
          <w:trHeight w:val="66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60" w:type="dxa"/>
            <w:vAlign w:val="bottom"/>
            <w:tcBorders>
              <w:top w:val="single" w:sz="8" w:color="0000EE"/>
            </w:tcBorders>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8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75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8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 of Document</w:t>
            </w:r>
          </w:p>
        </w:tc>
      </w:tr>
      <w:tr>
        <w:trPr>
          <w:trHeight w:val="175"/>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60" w:type="dxa"/>
            <w:vAlign w:val="bottom"/>
            <w:tcBorders>
              <w:top w:val="single" w:sz="8" w:color="auto"/>
              <w:bottom w:val="single" w:sz="8" w:color="0000EE"/>
            </w:tcBorders>
            <w:gridSpan w:val="2"/>
          </w:tcPr>
          <w:p>
            <w:pPr>
              <w:spacing w:after="0" w:line="17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Clawback Policy of the Registrant (incorporated by reference to Exhibit 97.1 of our annual report on Form 20-F (file</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gridSpan w:val="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no. 001-35224) filed with the SEC on April 23, 2024)</w:t>
              </w:r>
            </w:hyperlink>
          </w:p>
        </w:tc>
      </w:tr>
      <w:tr>
        <w:trPr>
          <w:trHeight w:val="2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58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460" w:hanging="1451"/>
        <w:spacing w:after="0"/>
        <w:tabs>
          <w:tab w:leader="none" w:pos="1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25"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-453390</wp:posOffset>
            </wp:positionV>
            <wp:extent cx="15684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By:/s/ Jinbo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Name:Jinbo Li</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94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78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r>
      <w:tr>
        <w:trPr>
          <w:trHeight w:val="412"/>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Income/(Loss) for the Years Ended December 31, 2023, 2024 and 2025</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34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12"/>
        </w:trPr>
        <w:tc>
          <w:tcPr>
            <w:tcW w:w="8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Years Ended December 31, 2023, 2024 and 2025</w:t>
            </w:r>
          </w:p>
        </w:tc>
        <w:tc>
          <w:tcPr>
            <w:tcW w:w="9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F-8</w:t>
            </w:r>
          </w:p>
        </w:tc>
      </w:tr>
      <w:tr>
        <w:trPr>
          <w:trHeight w:val="412"/>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F-9</w:t>
            </w:r>
          </w:p>
        </w:tc>
      </w:tr>
      <w:tr>
        <w:trPr>
          <w:trHeight w:val="412"/>
        </w:trPr>
        <w:tc>
          <w:tcPr>
            <w:tcW w:w="69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480" w:type="dxa"/>
            <w:vAlign w:val="bottom"/>
            <w:gridSpan w:val="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F-10</w:t>
            </w: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Xunlei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Xunlei Limited and its subsidiaries (the “Company”) as of December 31, 2025 and 2024, and the related consolidated statements of comprehensive income/(loss),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intangible assets acquired in connection with the acquisition of Hupu</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in May 2025, the Company completed the acquisition of Shanghai Kuanghui Network Technology Co., Ltd., which operates Hupu, a sports media and data platform in China, it resulted in the recognition of identifiable intangible assets comprised of: customer relationships of approximately US$17.4 million, brand name of approximately US$10.0 million, and technology of approximately US$2.3 million. Management applied significant judgment in determining the fair values of the acquired intangible assets, including the selection of appropriate valuation methods and the use of significant assumptions. The significant assumptions used in the fair value estimates included, among others, forecasted revenue growth rates and customer attrition rate for the customer relationships intangible asset, forecasted revenue growth rates and royalty rates for the brand name and technology intangible assets, and the discount rates applied to all intangible assets. Management engaged an independent valuation firm to assist with the determination of the fair values of the intangible assets acquired.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intangible assets acquired in connection with the acquisition of Hupu is a critical audit matter are (i) the significant judgment by management when developing the fair value estimates of the acquired intangible assets, including the selection of valuation methods and the significant assumptions used in the valuation models, which in turn led to a high degree of auditor judgment, subjectivity, and effort in performing procedures and evaluating audit evidence related to management’s estimates; and (ii) the audit effort involved the use of professionals with specialized skill and knowledge.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 connection with the business combination, including controls over management’s identification and valuation of the intangible assets and controls over the development of the significant assumptions used in the valuation models. These procedures also included, among others, (i) reading the purchase agreement; (ii) evaluating the competence, capability and objectivity of the independent valuation expert engaged by management; (iii) evaluating the appropriateness of the valuation methods used; (iv) testing the completeness, accuracy and relevance of the underlying data used in the valuations; and (v) evaluating the reasonableness of the significant assumptions used by management, including the forecasted revenue growth rates, customer attrition rate and discount rate for the customer relationships intangible asset, and forecasted revenue growth rates, royalty rates and discount rate for the brand and technology intangible assets, by considering the past performance of Hupu, the consistency with external market and industry data, and the current and expected conditions in the digital advertising and sports media markets in China. Professionals with specialized skill and knowledge were used to assist in evaluating the appropriateness of the valuation methods and the reasonableness of certain significant assumptions, including the royalty rates and discount rates used by management in estimating the fair values of the acquired intangible assets as of the acquisition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Hupu goodwill impairment assessment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3 and 13 to the consolidated financial statements, the Company’s consolidated goodwill balance relating to the acquisition of Hupu was approximately US$39.2 million as of December 31, 2025. Management performed a goodwill impairment test to compare the estimated fair value of the Hupu reporting unit to its carrying value, using a discounted cash flow (“DCF”) model as of December 31, 2025. The DCF model is derived from long-term cash flow projections prepared by management which include significant judgments and assumptions relating to revenue forecast, operating margins, the discount rate, and the terminal growth rate. As described in Note 13 to the consolidated financial statements, the Company’s market capitalization, based on the public trading price of its equity securities, was below its consolidated net book value as of December 31, 2025, and management performed a reconciliation of the aggregate estimated fair values of the Company’s reporting units to the Company’s market capitalization. As a result of the impairment test and related reconciliation, management determined that the estimated fair value of the Hupu reporting unit exceeded carrying value and therefore no goodwill impairment was recognized for the year ended December 31, 2025.</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Hupu goodwill impairment assessment is a critical audit matter are (i) the significant judgment by management when developing the fair value measurement of the Hupu reporting unit and market capitalization reconciling items; (ii) a high degree of auditor judgment, subjectivity, and effort in performing procedures and evaluating management’s significant assumptions and the market capitalization reconciliation; and (iii) the audit effort involved the use of professionals with specialized skill and knowledge.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Hupu reporting unit and the reconciliation to market capitalization. These procedures also included, among others, (i) testing management’s process for developing the fair value estimate; (ii) evaluating the appropriateness of the DCF model and the reconciliation; (iii) testing the completeness, accuracy, and relevance of underlying data used in the DCF model and the reconciliation; (iv) evaluating the reasonableness of significant assumptions used by management related to revenue forecast, operating margins, the discount rate, and the terminal growth rate; and (v) evaluating the reasonableness of the items used in management’s reconciliation of the DCF-based fair value estimate to the Company’s market capitalization. Evaluating management’s significant assumptions involved evaluating whether the assumptions used by management were reasonable considering</w:t>
      </w:r>
    </w:p>
    <w:p>
      <w:pPr>
        <w:spacing w:after="0" w:line="6" w:lineRule="exact"/>
        <w:rPr>
          <w:sz w:val="20"/>
          <w:szCs w:val="20"/>
          <w:color w:val="auto"/>
        </w:rPr>
      </w:pPr>
    </w:p>
    <w:p>
      <w:pPr>
        <w:jc w:val="both"/>
        <w:ind w:firstLine="8"/>
        <w:spacing w:after="0" w:line="253" w:lineRule="auto"/>
        <w:tabs>
          <w:tab w:leader="none" w:pos="2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performance of Hupu; (ii) the consistency with relevant market and industry data; and (iii) whether these assumptions were consistent with evidence obtained in other areas of the audit. Professionals with specialized skill and knowledge were used to assist in the evaluation of the appropriateness of the Company’s DCF model and reasonableness of certain significant assumptions, including the discount rate and the terminal growth rate, and the reasonableness of management’s market capitalization reconciliation.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United States dollars (“US$”),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Pr>
          <w:p>
            <w:pPr>
              <w:spacing w:after="0"/>
              <w:rPr>
                <w:sz w:val="17"/>
                <w:szCs w:val="17"/>
                <w:color w:val="auto"/>
              </w:rPr>
            </w:pPr>
          </w:p>
        </w:tc>
        <w:tc>
          <w:tcPr>
            <w:tcW w:w="13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2"/>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except for number of shares and per share data)</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Note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177,329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Short-term investments</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110,209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148,155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 net (Allowance for current expected credit losses of US$1,258 and</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US$1,471 as of December 31, 2024 and 2025, respectively)</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Due from related parties (Allowance for current expected credit losses of US$691 and</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US$334 as of December 31, 2024 and 2025, respectively)</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24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Prepayments and other current assets (Allowance for current expected credit losses and</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US$6,223 and US$5,516 as of December 31, 2024 and 2025, respectively)</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363,032</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399,673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investments</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30,599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1,070,596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tax assets</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22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10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54,784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assets</w:t>
            </w:r>
          </w:p>
        </w:tc>
        <w:tc>
          <w:tcPr>
            <w:tcW w:w="70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87"/>
              </w:rPr>
              <w:t>11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12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70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8"/>
              </w:rPr>
              <w:t>2(k), 13</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from a related party (Allowance for current expected credit losses of nil and US$174 as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of December 31, 2024 and 2025, respectively)</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prepayments and other assets</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473,901</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1,631,923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 (including amounts of the consolidated variable interest entity and its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subsidiaries (“VIEs”) without recourse to the Company of US$185,762 and US$256,407</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2024 and 2025, respectively)</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Due to related parties</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Contract liabilities, current portion</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14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payable</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liabilities and other payables</w:t>
            </w:r>
          </w:p>
        </w:tc>
        <w:tc>
          <w:tcPr>
            <w:tcW w:w="7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15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Short-term borrowings and current portion of long-term borrowings</w:t>
            </w:r>
          </w:p>
        </w:tc>
        <w:tc>
          <w:tcPr>
            <w:tcW w:w="7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9"/>
              </w:rPr>
              <w:t>16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70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87"/>
              </w:rPr>
              <w:t>11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126,736</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expressed in thousands of United States dollars (“US$”),</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except for number of shares and per share data)</w:t>
            </w:r>
          </w:p>
        </w:tc>
        <w:tc>
          <w:tcPr>
            <w:tcW w:w="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80"/>
        </w:trPr>
        <w:tc>
          <w:tcPr>
            <w:tcW w:w="618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Non-current liabilities (including amounts of the consolidated VIEs without recourse to</w:t>
            </w: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203"/>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the Company of US$97,997 and US$119,707 as of December 31, 2024 and 2025,</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respectively)</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7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203"/>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7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w:t>
            </w: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borrowings</w:t>
            </w:r>
          </w:p>
        </w:tc>
        <w:tc>
          <w:tcPr>
            <w:tcW w:w="7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38,413</w:t>
            </w:r>
          </w:p>
        </w:tc>
      </w:tr>
      <w:tr>
        <w:trPr>
          <w:trHeight w:val="203"/>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payables</w:t>
            </w:r>
          </w:p>
        </w:tc>
        <w:tc>
          <w:tcPr>
            <w:tcW w:w="760" w:type="dxa"/>
            <w:vAlign w:val="bottom"/>
            <w:gridSpan w:val="2"/>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r>
      <w:tr>
        <w:trPr>
          <w:trHeight w:val="203"/>
        </w:trPr>
        <w:tc>
          <w:tcPr>
            <w:tcW w:w="6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Lease liabilities</w:t>
            </w:r>
          </w:p>
        </w:tc>
        <w:tc>
          <w:tcPr>
            <w:tcW w:w="760" w:type="dxa"/>
            <w:vAlign w:val="bottom"/>
            <w:tcBorders>
              <w:bottom w:val="single" w:sz="8" w:color="CCEEFF"/>
            </w:tcBorders>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11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19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156,116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259,406</w:t>
            </w:r>
          </w:p>
        </w:tc>
      </w:tr>
      <w:tr>
        <w:trPr>
          <w:trHeight w:val="192"/>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7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26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9"/>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shares (375,001,940 shares issued and 307,351,196 shares outstanding as of</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3"/>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2024; 375,001,940 shares issued and 314,277,001 shares outstanding as of</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3"/>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2025)</w:t>
            </w:r>
          </w:p>
        </w:tc>
        <w:tc>
          <w:tcPr>
            <w:tcW w:w="76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192"/>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shares (67,650,744 shares and 60,724,939 shares as of December 31, 2024 and</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 respectively)</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477,244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480,133</w:t>
            </w:r>
          </w:p>
        </w:tc>
      </w:tr>
      <w:tr>
        <w:trPr>
          <w:trHeight w:val="203"/>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Statutory reserves</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9,687</w:t>
            </w: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(17,413)</w:t>
            </w:r>
          </w:p>
        </w:tc>
      </w:tr>
      <w:tr>
        <w:trPr>
          <w:trHeight w:val="203"/>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deficits)/retained earnings</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(146,305)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900,991</w:t>
            </w: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Xunlei Limited’s shareholders’ equity</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318,056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1,373,491</w:t>
            </w:r>
          </w:p>
        </w:tc>
      </w:tr>
      <w:tr>
        <w:trPr>
          <w:trHeight w:val="20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473,901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1,631,923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expressed in thousands of US$,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9"/>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except for number of shares and per share data)</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Note</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revenues, net of rebates and discounts (including transactions with</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parties of US$17,270, US$15,963 and US$16,309 for the years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ended December 31, 2023, 2024 and 2025, respectively)</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2(p), 2(x)</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surcharges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363,722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323,140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460,428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Costs of revenues (including transactions with related parties of US$39, nil</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nil for the years ended December 31, 2023, 2024 and 2025,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20</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(200,649)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(155,567)</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163,073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(expenses)/write-back, net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(164,685)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(183,277)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21</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(expenses)/benefits</w:t>
            </w:r>
          </w:p>
        </w:tc>
        <w:tc>
          <w:tcPr>
            <w:tcW w:w="8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for the year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income/(loss) attributable to the non-controlling interests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Xunlei Limited</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1,048,265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(loss)/income: Currency translation adjustments, net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income/(loss) attributable to non-controlling interests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 attributable to Xunlei Limited</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1,052,546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per share for common shares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tcPr>
          <w:p>
            <w:pPr>
              <w:jc w:val="center"/>
              <w:ind w:left="74"/>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used in calculating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326,390,687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318,758,374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311,440,748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tcPr>
          <w:p>
            <w:pPr>
              <w:jc w:val="center"/>
              <w:ind w:left="74"/>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326,849,502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319,146,281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316,458,713</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Xunlei</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expressed in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deficits)/</w:t>
            </w:r>
          </w:p>
        </w:tc>
        <w:tc>
          <w:tcPr>
            <w:tcW w:w="140" w:type="dxa"/>
            <w:vAlign w:val="bottom"/>
          </w:tcPr>
          <w:p>
            <w:pPr>
              <w:spacing w:after="0"/>
              <w:rPr>
                <w:sz w:val="15"/>
                <w:szCs w:val="15"/>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Limited’s</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thousands of US$, except for</w:t>
            </w:r>
          </w:p>
        </w:tc>
        <w:tc>
          <w:tcPr>
            <w:tcW w:w="14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Statutory</w:t>
            </w:r>
          </w:p>
        </w:tc>
        <w:tc>
          <w:tcPr>
            <w:tcW w:w="100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40" w:type="dxa"/>
            <w:vAlign w:val="bottom"/>
          </w:tcPr>
          <w:p>
            <w:pPr>
              <w:spacing w:after="0"/>
              <w:rPr>
                <w:sz w:val="14"/>
                <w:szCs w:val="14"/>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2"/>
        </w:trPr>
        <w:tc>
          <w:tcPr>
            <w:tcW w:w="1660" w:type="dxa"/>
            <w:vAlign w:val="bottom"/>
            <w:gridSpan w:val="2"/>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number of shares and per</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90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9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  earnings</w:t>
            </w:r>
          </w:p>
        </w:tc>
        <w:tc>
          <w:tcPr>
            <w:tcW w:w="1060" w:type="dxa"/>
            <w:vAlign w:val="bottom"/>
            <w:gridSpan w:val="2"/>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   equity</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 interest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8"/>
              </w:rPr>
              <w:t>325,047,736</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49,954,204</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477,495</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7,036</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(14,668)</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(160,063)</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right w:val="single" w:sz="8" w:color="CCEEFF"/>
            </w:tcBorders>
            <w:shd w:val="clear" w:color="auto" w:fill="CCEEFF"/>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309,893</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(1,472)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308,421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(13,037,345)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13,037,345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right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(4,687)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9,676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9,676</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9,676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shares vested</w:t>
            </w:r>
          </w:p>
        </w:tc>
        <w:tc>
          <w:tcPr>
            <w:tcW w:w="90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11,515,165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(11,515,165)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Appropriation of statutory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reserves</w:t>
            </w:r>
          </w:p>
        </w:tc>
        <w:tc>
          <w:tcPr>
            <w:tcW w:w="14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40" w:type="dxa"/>
            <w:vAlign w:val="bottom"/>
          </w:tcPr>
          <w:p>
            <w:pPr>
              <w:spacing w:after="0"/>
              <w:rPr>
                <w:sz w:val="14"/>
                <w:szCs w:val="14"/>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1060" w:type="dxa"/>
            <w:vAlign w:val="bottom"/>
            <w:tcBorders>
              <w:right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14,225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78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14,266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Currency translation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adjustments</w:t>
            </w:r>
          </w:p>
        </w:tc>
        <w:tc>
          <w:tcPr>
            <w:tcW w:w="14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(4,245)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vMerge w:val="restart"/>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900" w:type="dxa"/>
            <w:vAlign w:val="bottom"/>
            <w:tcBorders>
              <w:right w:val="single" w:sz="8" w:color="CCEEFF"/>
            </w:tcBorders>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323,525,556</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51,476,384</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482,484</w:t>
            </w:r>
          </w:p>
        </w:tc>
        <w:tc>
          <w:tcPr>
            <w:tcW w:w="140" w:type="dxa"/>
            <w:vAlign w:val="bottom"/>
            <w:tcBorders>
              <w:right w:val="single" w:sz="8" w:color="CCEEFF"/>
            </w:tcBorders>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8,142</w:t>
            </w:r>
          </w:p>
        </w:tc>
        <w:tc>
          <w:tcPr>
            <w:tcW w:w="180" w:type="dxa"/>
            <w:vAlign w:val="bottom"/>
            <w:tcBorders>
              <w:right w:val="single" w:sz="8" w:color="CCEEFF"/>
            </w:tcBorders>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(18,913)</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(146,944)</w:t>
            </w:r>
          </w:p>
        </w:tc>
        <w:tc>
          <w:tcPr>
            <w:tcW w:w="1060" w:type="dxa"/>
            <w:vAlign w:val="bottom"/>
            <w:tcBorders>
              <w:right w:val="single" w:sz="8" w:color="CCEEFF"/>
            </w:tcBorders>
            <w:gridSpan w:val="2"/>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324,862</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780" w:type="dxa"/>
            <w:vAlign w:val="bottom"/>
            <w:tcBorders>
              <w:right w:val="single" w:sz="8" w:color="CCEEFF"/>
            </w:tcBorders>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323,473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tcBorders>
              <w:right w:val="single" w:sz="8" w:color="CCEEFF"/>
            </w:tcBorders>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060" w:type="dxa"/>
            <w:vAlign w:val="bottom"/>
            <w:tcBorders>
              <w:right w:val="single" w:sz="8" w:color="CCEEFF"/>
            </w:tcBorders>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780" w:type="dxa"/>
            <w:vAlign w:val="bottom"/>
            <w:tcBorders>
              <w:right w:val="single" w:sz="8" w:color="CCEEFF"/>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(20,858,895)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20,858,895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(7,693)</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right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(7,693)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2,453</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2,453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shares vested</w:t>
            </w:r>
          </w:p>
        </w:tc>
        <w:tc>
          <w:tcPr>
            <w:tcW w:w="90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4,684,535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Appropriation of statutory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reserves</w:t>
            </w:r>
          </w:p>
        </w:tc>
        <w:tc>
          <w:tcPr>
            <w:tcW w:w="14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40" w:type="dxa"/>
            <w:vAlign w:val="bottom"/>
          </w:tcPr>
          <w:p>
            <w:pPr>
              <w:spacing w:after="0"/>
              <w:rPr>
                <w:sz w:val="14"/>
                <w:szCs w:val="14"/>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a subsidiary</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78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1,638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1,215</w:t>
            </w:r>
          </w:p>
        </w:tc>
        <w:tc>
          <w:tcPr>
            <w:tcW w:w="10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1,215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7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663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Currency translation</w:t>
            </w:r>
          </w:p>
        </w:tc>
        <w:tc>
          <w:tcPr>
            <w:tcW w:w="14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w:t>
            </w:r>
          </w:p>
        </w:tc>
        <w:tc>
          <w:tcPr>
            <w:tcW w:w="140" w:type="dxa"/>
            <w:vAlign w:val="bottom"/>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12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tcBorders>
              <w:bottom w:val="single" w:sz="8" w:color="auto"/>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(2,781)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shd w:val="clear" w:color="auto" w:fill="CCEEFF"/>
          </w:tcPr>
          <w:p>
            <w:pPr>
              <w:spacing w:after="0"/>
              <w:rPr>
                <w:sz w:val="14"/>
                <w:szCs w:val="14"/>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90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307,351,196</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67,650,744</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477,244</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8,718</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(21,694)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(146,305)</w:t>
            </w:r>
          </w:p>
        </w:tc>
        <w:tc>
          <w:tcPr>
            <w:tcW w:w="106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318,056</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(271)</w:t>
            </w:r>
          </w:p>
        </w:tc>
        <w:tc>
          <w:tcPr>
            <w:tcW w:w="78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317,785</w:t>
            </w:r>
          </w:p>
        </w:tc>
        <w:tc>
          <w:tcPr>
            <w:tcW w:w="0" w:type="dxa"/>
            <w:vAlign w:val="bottom"/>
          </w:tcPr>
          <w:p>
            <w:pPr>
              <w:spacing w:after="0"/>
              <w:rPr>
                <w:sz w:val="1"/>
                <w:szCs w:val="1"/>
                <w:color w:val="auto"/>
              </w:rPr>
            </w:pPr>
          </w:p>
        </w:tc>
      </w:tr>
      <w:tr>
        <w:trPr>
          <w:trHeight w:val="192"/>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(2,174,695)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2,174,695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(951)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right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3,840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Restricted shares vested</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9,100,500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(9,100,500)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Appropriation of statutory</w:t>
            </w:r>
          </w:p>
        </w:tc>
        <w:tc>
          <w:tcPr>
            <w:tcW w:w="14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reserves</w:t>
            </w: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1,048,265</w:t>
            </w:r>
          </w:p>
        </w:tc>
        <w:tc>
          <w:tcPr>
            <w:tcW w:w="10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1,048,265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7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1,047,610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Currency translation</w:t>
            </w:r>
          </w:p>
        </w:tc>
        <w:tc>
          <w:tcPr>
            <w:tcW w:w="14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w:t>
            </w: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right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4,281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78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4,233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140" w:type="dxa"/>
            <w:vAlign w:val="bottom"/>
          </w:tcPr>
          <w:p>
            <w:pPr>
              <w:spacing w:after="0"/>
              <w:rPr>
                <w:sz w:val="12"/>
                <w:szCs w:val="12"/>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vMerge w:val="restart"/>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900" w:type="dxa"/>
            <w:vAlign w:val="bottom"/>
            <w:tcBorders>
              <w:right w:val="single" w:sz="8" w:color="CCEEFF"/>
            </w:tcBorders>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314,277,001</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60,724,939</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480,133</w:t>
            </w:r>
          </w:p>
        </w:tc>
        <w:tc>
          <w:tcPr>
            <w:tcW w:w="140" w:type="dxa"/>
            <w:vAlign w:val="bottom"/>
            <w:tcBorders>
              <w:right w:val="single" w:sz="8" w:color="CCEEFF"/>
            </w:tcBorders>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9,687</w:t>
            </w:r>
          </w:p>
        </w:tc>
        <w:tc>
          <w:tcPr>
            <w:tcW w:w="180" w:type="dxa"/>
            <w:vAlign w:val="bottom"/>
            <w:tcBorders>
              <w:right w:val="single" w:sz="8" w:color="CCEEFF"/>
            </w:tcBorders>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(17,413)</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900,991</w:t>
            </w:r>
          </w:p>
        </w:tc>
        <w:tc>
          <w:tcPr>
            <w:tcW w:w="1060" w:type="dxa"/>
            <w:vAlign w:val="bottom"/>
            <w:tcBorders>
              <w:right w:val="single" w:sz="8" w:color="CCEEFF"/>
            </w:tcBorders>
            <w:gridSpan w:val="2"/>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1,373,491</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(974)</w:t>
            </w:r>
          </w:p>
        </w:tc>
        <w:tc>
          <w:tcPr>
            <w:tcW w:w="780" w:type="dxa"/>
            <w:vAlign w:val="bottom"/>
            <w:tcBorders>
              <w:right w:val="single" w:sz="8" w:color="CCEEFF"/>
            </w:tcBorders>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1,372,517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Borders>
              <w:right w:val="single" w:sz="8" w:color="CCEEFF"/>
            </w:tcBorders>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060" w:type="dxa"/>
            <w:vAlign w:val="bottom"/>
            <w:tcBorders>
              <w:right w:val="single" w:sz="8" w:color="CCEEFF"/>
            </w:tcBorders>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780" w:type="dxa"/>
            <w:vAlign w:val="bottom"/>
            <w:tcBorders>
              <w:right w:val="single" w:sz="8" w:color="CCEEFF"/>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Absolute value is less than US$1 thousand.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460"/>
          </w:cols>
          <w:pgMar w:left="840" w:top="513" w:right="5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(Amounts expressed in thousands of US$ except for</w:t>
            </w:r>
          </w:p>
        </w:tc>
        <w:tc>
          <w:tcPr>
            <w:tcW w:w="200" w:type="dxa"/>
            <w:vAlign w:val="bottom"/>
          </w:tcPr>
          <w:p>
            <w:pPr>
              <w:spacing w:after="0"/>
              <w:rPr>
                <w:sz w:val="13"/>
                <w:szCs w:val="13"/>
                <w:color w:val="auto"/>
              </w:rPr>
            </w:pPr>
          </w:p>
        </w:tc>
        <w:tc>
          <w:tcPr>
            <w:tcW w:w="2260" w:type="dxa"/>
            <w:vAlign w:val="bottom"/>
            <w:tcBorders>
              <w:bottom w:val="single" w:sz="8" w:color="auto"/>
            </w:tcBorders>
            <w:gridSpan w:val="7"/>
          </w:tcPr>
          <w:p>
            <w:pPr>
              <w:ind w:left="760"/>
              <w:spacing w:after="0"/>
              <w:rPr>
                <w:sz w:val="20"/>
                <w:szCs w:val="20"/>
                <w:color w:val="auto"/>
              </w:rPr>
            </w:pPr>
            <w:r>
              <w:rPr>
                <w:rFonts w:ascii="Times New Roman" w:cs="Times New Roman" w:eastAsia="Times New Roman" w:hAnsi="Times New Roman"/>
                <w:sz w:val="13"/>
                <w:szCs w:val="13"/>
                <w:b w:val="1"/>
                <w:bCs w:val="1"/>
                <w:color w:val="auto"/>
                <w:w w:val="99"/>
              </w:rPr>
              <w:t>Years ended December 31,</w:t>
            </w: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7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number of shares and per share data)</w:t>
            </w:r>
          </w:p>
        </w:tc>
        <w:tc>
          <w:tcPr>
            <w:tcW w:w="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1"/>
                <w:szCs w:val="11"/>
                <w:color w:val="auto"/>
              </w:rPr>
            </w:pPr>
          </w:p>
        </w:tc>
        <w:tc>
          <w:tcPr>
            <w:tcW w:w="1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1"/>
                <w:szCs w:val="11"/>
                <w:color w:val="auto"/>
              </w:rPr>
            </w:pPr>
          </w:p>
        </w:tc>
        <w:tc>
          <w:tcPr>
            <w:tcW w:w="3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for the year</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14,266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1,047,610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generated from operating activities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Depreciation of property and equipment</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Amortization of intangible assets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Amortization of operating lease assets</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Credit loss expenses/(write-back), net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Losses/(gains) on disposal of property and equipment</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Gains on modification of operating leases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Share-based compensation expenses</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9,676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Net unrealized investment income from short-term investments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(1,390)</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Impairment of property and equipment</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Impairment of intangible assets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Write-downs of inventories</w:t>
            </w:r>
          </w:p>
        </w:tc>
        <w:tc>
          <w:tcPr>
            <w:tcW w:w="20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Impairment of goodwill</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20,748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Impairment on long-term investments</w:t>
            </w:r>
          </w:p>
        </w:tc>
        <w:tc>
          <w:tcPr>
            <w:tcW w:w="20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Fair value changes on long-term investments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(1,032,989)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Gains from disposal of long-term investments and subsidiaries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(861)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Interest expense accrued on long-term payables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Deferred income taxes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(10,068)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Accounts receivable</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(1,997)</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(2,037)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(27,371)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Prepayments and other assets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(408)</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Due from/to related parties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(1,665)</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Accounts payable</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(598)</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(1,519)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Inventories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(1,804)</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Contract liabilities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(1,954)</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3,575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Income tax payable</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3,080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 Accrued liabilities and other payables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5,437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22,781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Lease liabilities</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generated from operating activities</w:t>
            </w: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25,716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30,976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 of short-term investments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(378,162)</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(479,453)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collection upon maturities of short-term investments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360,735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470,245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566,297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(3,992)</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(8,026)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 of intangible assets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(499)</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Payments for long-term investments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(1,418)</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(3,103)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paid for a business combination, net of cash acquired</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(2,125)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(52,134)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disposal of property and equipment</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disposal of long-term investments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Repayment/(payment) of loans to employees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(599)</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(978)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 to third parties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(565)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Payments for disposal of subsidiaries</w:t>
            </w:r>
          </w:p>
        </w:tc>
        <w:tc>
          <w:tcPr>
            <w:tcW w:w="20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(23,898)</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(21,913)</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(99,096)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shares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(4,687)</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(7,693)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bank borrowings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4,254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33,387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Repayment of bank borrowings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(13,091)</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(26,619)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in)/generated from financing activities</w:t>
            </w: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(13,524)</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(925)</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45,480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(decrease)/increase in cash, cash equivalents and restricted cash</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(11,706)</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8,138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(21,137)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Effect of exchange rates on cash and cash equivalents, and restricted cash</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(2,300)</w:t>
            </w:r>
          </w:p>
        </w:tc>
        <w:tc>
          <w:tcPr>
            <w:tcW w:w="14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(1,393)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at beginning of the year</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177,154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170,802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177,329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cash at beginning of the year</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year</w:t>
            </w: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184,808</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170,802</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and cash equivalents at end of the year</w:t>
            </w:r>
          </w:p>
        </w:tc>
        <w:tc>
          <w:tcPr>
            <w:tcW w:w="2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170,802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177,329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157,020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cash at end of year</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7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170,802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177,547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157,826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 paid</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Non-cash investing and financing activities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Purchase of property and equipment in form of other payables</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 Acquisition of operating lease assets</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Addition of long-term investments in form of other payables</w:t>
            </w:r>
          </w:p>
        </w:tc>
        <w:tc>
          <w:tcPr>
            <w:tcW w:w="20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 Unpaid cash consideration for acquisition</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Xunlei Limited, previously known as Giganology Limited, (the “Company”) was incorporated under the law of the Cayman Islands as a limited liability company on February 3, 2005. The Company completed its initial public offering on June 24, 2014 on the NASDAQ Global Market. Each American Depositary Shares (“ADSs”) of the Company represents five common shares.</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its subsidiaries, the variable interest entities (“VIEs”) and VIEs’ subsidiaries (collectively referred to as the “Group”). As of December 31, 2025, the Company’s major subsidiaries, VIEs and VIEs’ subsidiaries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Pr>
          <w:p>
            <w:pPr>
              <w:spacing w:after="0"/>
              <w:rPr>
                <w:sz w:val="12"/>
                <w:szCs w:val="12"/>
                <w:color w:val="auto"/>
              </w:rPr>
            </w:pPr>
          </w:p>
        </w:tc>
        <w:tc>
          <w:tcPr>
            <w:tcW w:w="1060" w:type="dxa"/>
            <w:vAlign w:val="bottom"/>
            <w:gridSpan w:val="2"/>
          </w:tcPr>
          <w:p>
            <w:pPr>
              <w:jc w:val="right"/>
              <w:ind w:right="817"/>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 of direct  ​​​</w:t>
            </w: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or indirect</w:t>
            </w: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Place of</w:t>
            </w:r>
          </w:p>
        </w:tc>
        <w:tc>
          <w:tcPr>
            <w:tcW w:w="180" w:type="dxa"/>
            <w:vAlign w:val="bottom"/>
          </w:tcPr>
          <w:p>
            <w:pPr>
              <w:spacing w:after="0"/>
              <w:rPr>
                <w:sz w:val="11"/>
                <w:szCs w:val="11"/>
                <w:color w:val="auto"/>
              </w:rPr>
            </w:pPr>
          </w:p>
        </w:tc>
        <w:tc>
          <w:tcPr>
            <w:tcW w:w="8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Period 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economic</w:t>
            </w: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 of entities</w:t>
            </w: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8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9"/>
              </w:rPr>
              <w:t>Relationship</w:t>
            </w:r>
          </w:p>
        </w:tc>
        <w:tc>
          <w:tcPr>
            <w:tcW w:w="1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Xunlei Network Technologies Limited</w:t>
            </w:r>
          </w:p>
        </w:tc>
        <w:tc>
          <w:tcPr>
            <w:tcW w:w="18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British Virgin</w:t>
            </w:r>
          </w:p>
        </w:tc>
        <w:tc>
          <w:tcPr>
            <w:tcW w:w="1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February 2011</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Subsidiary</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100</w:t>
            </w:r>
          </w:p>
        </w:tc>
        <w:tc>
          <w:tcPr>
            <w:tcW w:w="200" w:type="dxa"/>
            <w:vAlign w:val="bottom"/>
            <w:tcBorders>
              <w:top w:val="single" w:sz="8" w:color="CCEEFF"/>
            </w:tcBorders>
            <w:shd w:val="clear" w:color="auto" w:fill="CCEEFF"/>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Investment holding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Islands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Xunlei Network Technologies Limited</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Hong Kong</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March 2011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Subsidiary</w:t>
            </w:r>
          </w:p>
        </w:tc>
        <w:tc>
          <w:tcPr>
            <w:tcW w:w="10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Giganology (Shenzhen) Co., Ltd. (“Giganology Shenzhen”)</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June 2005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Subsidiary</w:t>
            </w:r>
          </w:p>
        </w:tc>
        <w:tc>
          <w:tcPr>
            <w:tcW w:w="10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Xunlei Computer (Shenzhen) Co., Ltd. (“Xunlei Computer”)</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7"/>
              </w:rPr>
              <w:t>November 2011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Subsidiary</w:t>
            </w:r>
          </w:p>
        </w:tc>
        <w:tc>
          <w:tcPr>
            <w:tcW w:w="10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Shenzhen Xunlei Networking Technologies Co., Ltd. (“Shenzhen</w:t>
            </w:r>
          </w:p>
        </w:tc>
        <w:tc>
          <w:tcPr>
            <w:tcW w:w="11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w w:val="97"/>
              </w:rPr>
              <w:t>People’s Republic of</w:t>
            </w: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January 2003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VIE</w:t>
            </w:r>
          </w:p>
        </w:tc>
        <w:tc>
          <w:tcPr>
            <w:tcW w:w="108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Membership subscription and</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Xunlei”)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China (“PRC”)</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Shenzhen Suqu Network Technology Co., Ltd. (“Shenzhen Suqu”)</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October 2021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VIE</w:t>
            </w:r>
          </w:p>
        </w:tc>
        <w:tc>
          <w:tcPr>
            <w:tcW w:w="10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2"/>
          </w:tcPr>
          <w:p>
            <w:pPr>
              <w:jc w:val="right"/>
              <w:ind w:right="977"/>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Shenzhen Onething Technologies Co., Ltd. (“Shenzhen Onething”)</w:t>
            </w:r>
          </w:p>
        </w:tc>
        <w:tc>
          <w:tcPr>
            <w:tcW w:w="11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w w:val="96"/>
              </w:rPr>
              <w:t>September 2013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VIE’s</w:t>
            </w:r>
          </w:p>
        </w:tc>
        <w:tc>
          <w:tcPr>
            <w:tcW w:w="108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70 %</w:t>
            </w:r>
          </w:p>
        </w:tc>
        <w:tc>
          <w:tcPr>
            <w:tcW w:w="18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Cloud computing services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subsidiary</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b, 28)</w:t>
            </w:r>
          </w:p>
        </w:tc>
        <w:tc>
          <w:tcPr>
            <w:tcW w:w="18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Jiangxi Node Technology Service Co., Ltd. (“Jiangxi Node”)</w:t>
            </w:r>
          </w:p>
        </w:tc>
        <w:tc>
          <w:tcPr>
            <w:tcW w:w="11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July 2020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VIE’s</w:t>
            </w:r>
          </w:p>
        </w:tc>
        <w:tc>
          <w:tcPr>
            <w:tcW w:w="108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Cloud computing services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subsidiary</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Shanghai Kuanghui Network Technology Co., Ltd. (“Shanghai</w:t>
            </w:r>
          </w:p>
        </w:tc>
        <w:tc>
          <w:tcPr>
            <w:tcW w:w="11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June 2013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VIE’s</w:t>
            </w:r>
          </w:p>
        </w:tc>
        <w:tc>
          <w:tcPr>
            <w:tcW w:w="108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Online advertising</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Kuanghui”) (Note 3)</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subsidiary</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Hupu (Shanghai) Information Technology Co., Ltd. (“Hupu</w:t>
            </w:r>
          </w:p>
        </w:tc>
        <w:tc>
          <w:tcPr>
            <w:tcW w:w="11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w w:val="96"/>
              </w:rPr>
              <w:t>September 2021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VIE’s</w:t>
            </w:r>
          </w:p>
        </w:tc>
        <w:tc>
          <w:tcPr>
            <w:tcW w:w="108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Online advertising</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Information”)</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subsidiary</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2"/>
          </w:tcPr>
          <w:p>
            <w:pPr>
              <w:jc w:val="right"/>
              <w:ind w:right="977"/>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Funi. Pte. Ltd.</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Singapore</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April 2021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Subsidiary</w:t>
            </w:r>
          </w:p>
        </w:tc>
        <w:tc>
          <w:tcPr>
            <w:tcW w:w="10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Live streaming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Fuconnect. Pte. Ltd.</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Singapore</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February 2022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Subsidiary</w:t>
            </w:r>
          </w:p>
        </w:tc>
        <w:tc>
          <w:tcPr>
            <w:tcW w:w="10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1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Live streaming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85" w:lineRule="exact"/>
        <w:rPr>
          <w:sz w:val="20"/>
          <w:szCs w:val="20"/>
          <w:color w:val="auto"/>
        </w:rPr>
      </w:pPr>
    </w:p>
    <w:p>
      <w:pPr>
        <w:ind w:left="340" w:right="4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English names of the PRC companies represent management’s translation of the Chinese names of these companies as they have not adopted formal English names.</w:t>
      </w:r>
    </w:p>
    <w:p>
      <w:pPr>
        <w:spacing w:after="0" w:line="12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remaining 30% of the equity interest was owned by certain plan participants or share incentive awards holding platforms under the employee share incentive plan, see Note 19 for details.</w:t>
      </w:r>
    </w:p>
    <w:p>
      <w:pPr>
        <w:spacing w:after="0" w:line="13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Group engages primarily in the provision of premium downloading services to its members, sales of bandwidth, platforms for live streaming services and other services.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 comply with the PRC laws and regulations that prohibit or restrict foreign ownership of companies that provide online services and hold Internet Content Provider (“ICP”) license, the Group mainly conducts its business through the VIEs and their subsidiaries in the PRC.</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Through the various contractual agreements, the Company as the primary beneficiary received all of the economic benefits and residual interest and absorbed all of the risks and expected losses from VIEs. As such, the Company consolidates the financial statements of these VIEs. Consequently, the financial results of the VIEs were included in the Group’s consolidated financial statements in accordance with the presentation as stated in Note 2(b).</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contractual agreements entered into by and among the Company, Shenzhen Xunlei and legal registered shareholders of Shenzhen Xunlei:</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Agreements</w:t>
      </w:r>
      <w:r>
        <w:rPr>
          <w:rFonts w:ascii="Times New Roman" w:cs="Times New Roman" w:eastAsia="Times New Roman" w:hAnsi="Times New Roman"/>
          <w:sz w:val="18"/>
          <w:szCs w:val="18"/>
          <w:color w:val="auto"/>
        </w:rPr>
        <w:t xml:space="preserve"> between Giganology Shenzhen and the shareholders of Shenzhen Xunlei: Giganology Shenzhen provided interest-free loans of RMB9 million to the legal shareholders of Shenzhen Xunlei for them to make contributions as registered capital into Shenzhen Xunlei. The terms of these agreements last for two years from the date it was signed, and will be automatically extended afterwards on a yearly basis until each legal shareholder of Shenzhen Xunlei has repaid the loans in its entirety in accordance with the loan agreement. The legal shareholders would not be allowed to transfer their interests in Shenzhen Xunlei without prior consent of Giganology Shenzhen. According to the loan agreements, the loans can only be repaid in the form of common shares of Shenzhen Xunlei. At any time during the term of the loan agreements, Giganology Shenzhen may, at their sole discretion, requires any of the legal shareholders of Shenzhen Xunlei to repay all or any portion of their outstanding loan under the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 separate loan agreement between Giganology Shenzhen and Mr. Sean Shenglong Zou as a legal registered shareholder of Shenzhen Xunlei, Giganology Shenzhen made an additional interest-free loan of RMB20 million to Mr. Sean Shenglong Zou, the entire amount of which was contributed to the registered capital of Shenzhen Xunlei, increasing the registered capital of Shenzhen Xunlei to RMB30 million. The term of this agreement lasts for two years from the date it was signed, and will be automatically extended afterwards on a yearly basis until Mr. Zou has repaid the loan in its entirety in accordance with the loan agreement. This loan will be deemed to be repaid when all equity interest held by the shareholders in Shenzhen Xunlei has been transferred to Giganology Shenzhen or its designated parties. At any time during the term of this loan agreement, the Company may, at their sole discretion, require all or any portion of the outstanding loan under the agreement to be repaid.</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Operation Agreements</w:t>
      </w:r>
      <w:r>
        <w:rPr>
          <w:rFonts w:ascii="Times New Roman" w:cs="Times New Roman" w:eastAsia="Times New Roman" w:hAnsi="Times New Roman"/>
          <w:sz w:val="18"/>
          <w:szCs w:val="18"/>
          <w:color w:val="auto"/>
        </w:rPr>
        <w:t xml:space="preserve"> between Giganology Shenzhen and Shenzhen Xunlei: Under these agreements, Giganology Shenzhen has the rights to direct the operating activities of Shenzhen Xunlei, including the appointment of senior management. The legal shareholders of Shenzhen Xunlei also transferred all their shareholders’ rights to Giganology Shenzhen. The term of this agreement may be extended with Giganology Shenzhen’s confirmation prior to the expiration date. The agreement became expired in November 2016 and has been extended to November 2026.</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xml:space="preserve"> between Giganology Shenzhen and the legal shareholders of Shenzhen Xunlei: Under this agreement, the legal shareholders of Shenzhen Xunlei pledged all of their equity interests in Shenzhen Xunlei to Giganology Shenzhen. If Shenzhen Xunlei and/or its legal shareholders breach their contractual obligations under this agreement, Giganology Shenzhen, as pledgee, will be entitled to certain rights, including the right to sell the pledged equity interests.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Each legal shareholder of Shenzhen Xunlei appointed Giganology Shenzhen as its attorney-in-fact to exercise their shareholders’ rights in Shenzhen Xunlei, including shareholders’ voting rights. Each power of attorney will remain in force for 10 years starting from May 2011 unless the business operation agreement among Giganology Shenzhen, Shenzhen Xunlei and the legal shareholders of Shenzhen Xunlei is terminated in advance. This period may be extended at Giganology Shenzhen’s discretion. The agreement became expired in May 2021 and has been extended to May 2031.</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Agreements</w:t>
      </w:r>
      <w:r>
        <w:rPr>
          <w:rFonts w:ascii="Times New Roman" w:cs="Times New Roman" w:eastAsia="Times New Roman" w:hAnsi="Times New Roman"/>
          <w:sz w:val="18"/>
          <w:szCs w:val="18"/>
          <w:color w:val="auto"/>
        </w:rPr>
        <w:t xml:space="preserve"> between Giganology Shenzhen and Shenzhen Xunlei: Under various service agreements, Giganology Shenzhen will provide services including technical support, training, as well as consulting services to Shenzhen Xunlei in exchange for a service fee. These service agreements include the Exclusive Technology Support and Services Agreement, the Exclusive Technology Consulting and Training Agreement and the Software and Proprietary Technology License Contract. Giganology Shenzhen is entitled to service fees equal to 20%, 20% and 40% of the pre-tax operating profit of Shenzhen Xunlei according to the terms and provisions of these agreements, respectively (in aggregate 80% of pre-tax operating profit of Shenzhen Xunlei). In addition, these agreements also allow both parties to review and adjust the above mentioned percentage every six months according to the business operation and income of Shenzhen Xunlei so as to enable Giganology Shenzhen to extract substantially all the after tax operating profit of Shenzhen Xunlei.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Exclusive Technology Support and Services Agreement and the Exclusive Technology Consulting and Training Agreement, as provided in the supplemental agreements, the term of these agreements will expire in September 2035 and will be automatically renewed for a further period of ten years thereafter. Giganology Shenzhen is entitled to terminate the agreement at any time by providing 30 days’ prior written notice to Shenzhen Xunlei.</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Proprietary Technology License Contract, the term of this contract became expired in March 2022 and has been extended with Giganology Shenzhen to March 2032. Giganology Shenzhen grants Shenzhen Xunlei a non-exclusive and non-transferable right to use Giganology Shenzhen’s proprietary technology. Shenzhen Xunlei can only use the proprietary technology to conduct business according to its authorized business scope. Giganology Shenzhen or its designated representative(s) owns the rights to any new technology developed due to implementation of this contract.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—Intellectual Properties Purchase Option Agreement </w:t>
      </w:r>
      <w:r>
        <w:rPr>
          <w:rFonts w:ascii="Times New Roman" w:cs="Times New Roman" w:eastAsia="Times New Roman" w:hAnsi="Times New Roman"/>
          <w:sz w:val="18"/>
          <w:szCs w:val="18"/>
          <w:color w:val="auto"/>
        </w:rPr>
        <w:t>between Giganology Shenzhen and Shenzhen Xunlei: Giganology Shenzhen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option to acquire Shenzhen Xunlei’s intellectual properties at the lowest price permissible by the then-applicable PRC laws and regulation. The term of this contract became expired in March 2022 and had been automatically extended for an additional 10 years at Giganology Shenzhen’s discretion to March 2032.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Option Agreement</w:t>
      </w:r>
      <w:r>
        <w:rPr>
          <w:rFonts w:ascii="Times New Roman" w:cs="Times New Roman" w:eastAsia="Times New Roman" w:hAnsi="Times New Roman"/>
          <w:sz w:val="18"/>
          <w:szCs w:val="18"/>
          <w:color w:val="auto"/>
        </w:rPr>
        <w:t xml:space="preserve">: </w:t>
      </w:r>
      <w:r>
        <w:rPr>
          <w:rFonts w:ascii="Georgia" w:cs="Georgia" w:eastAsia="Georgia" w:hAnsi="Georgia"/>
          <w:sz w:val="18"/>
          <w:szCs w:val="18"/>
          <w:color w:val="auto"/>
        </w:rPr>
        <w:t>Giganology Shenzhen has an option to acquire all of the outstanding shares of Shenzhen Xunlei at</w:t>
      </w:r>
      <w:r>
        <w:rPr>
          <w:rFonts w:ascii="Times New Roman" w:cs="Times New Roman" w:eastAsia="Times New Roman" w:hAnsi="Times New Roman"/>
          <w:sz w:val="18"/>
          <w:szCs w:val="18"/>
          <w:color w:val="auto"/>
        </w:rPr>
        <w:t xml:space="preserve"> </w:t>
      </w:r>
      <w:r>
        <w:rPr>
          <w:rFonts w:ascii="Georgia" w:cs="Georgia" w:eastAsia="Georgia" w:hAnsi="Georgia"/>
          <w:sz w:val="18"/>
          <w:szCs w:val="18"/>
          <w:color w:val="auto"/>
        </w:rPr>
        <w:t xml:space="preserve">a purchase price equal to </w:t>
      </w:r>
      <w:r>
        <w:rPr>
          <w:rFonts w:ascii="Times New Roman" w:cs="Times New Roman" w:eastAsia="Times New Roman" w:hAnsi="Times New Roman"/>
          <w:sz w:val="18"/>
          <w:szCs w:val="18"/>
          <w:color w:val="auto"/>
        </w:rPr>
        <w:t>RMB1 or the lowest price permissible by the then-applicable PRC laws and regulation. The term of the</w:t>
      </w:r>
      <w:r>
        <w:rPr>
          <w:rFonts w:ascii="Georgia" w:cs="Georgia" w:eastAsia="Georgia" w:hAnsi="Georgia"/>
          <w:sz w:val="18"/>
          <w:szCs w:val="18"/>
          <w:color w:val="auto"/>
        </w:rPr>
        <w:t xml:space="preserve"> </w:t>
      </w:r>
      <w:r>
        <w:rPr>
          <w:rFonts w:ascii="Times New Roman" w:cs="Times New Roman" w:eastAsia="Times New Roman" w:hAnsi="Times New Roman"/>
          <w:sz w:val="18"/>
          <w:szCs w:val="18"/>
          <w:color w:val="auto"/>
        </w:rPr>
        <w:t>agreement became expired in March 2022 and had been automatically extended for an additional 10 years at Giganology Shenzhen’s discretion to March 2032.</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agreements amongst the Shenzhen Suqu, the relevant subsidiaries and VIE shareholders that provide the Company with the power to direct the activities that most significantly impact the economic performance of Shenzhen Suqu and its subsidiaries and provide the Company with economic benefits of Shenzhen Suqu and its subsidiaries contains substantially the same terms as described above other than (i) the agreements that enable the Company to direct the activities most significantly affect Shenzhen Suqu’s economic performance is limited to the Equity Pledge Agreement, and (ii) the agreements that transfer economic benefits from Shenzhen Suqu to the Company is limited to the Exclusive Business Cooperation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VIE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part of the Group’s business is conducted through VIEs, of which the Company is the primary beneficiary. In the opinion of management, the contractual arrangements with the VIEs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finding was made by PRC authorities under existing laws and regulations and becomes effective, the Group’s operation of certain of its operations and businesses through VIEs, regulatory authorities with jurisdiction over the licensing and operation of such operations and businesses would have broad discretion in dealing with such a violation, including levying fines, confiscating the Group’s income, revoking the business or operating licenses of the affected businesses, requiring the Group to restructure its ownership structure or operations, or requiring the Group to discontinue all or any portion of its operations. Any of these actions could cause significant disruption to the Group’s business operations, and have a severe adverse impact on the Group’s cash flows, financial position and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right="5340" w:firstLine="8"/>
        <w:spacing w:after="0" w:line="378" w:lineRule="auto"/>
        <w:tabs>
          <w:tab w:leader="none" w:pos="67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 (Continued) Risks related to VIE structure (Continued)</w:t>
      </w: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In addition, it is possible that the contracts among the Company’s subsidiaries, the VIEs and shareholders of VIEs would not be enforceable in China if PRC government authorities or courts were to find that such contracts contravene PRC law and regulations or are otherwise not enforceable for public policy reasons. The Group’s operations also depend on the VIEs and their nominee shareholders to honor their contractual arrangements with the Group. In the event that the Group was unable to enforce these contractual arrangements, the Group would not be able to exert effective control over the affected VIEs. Consequently, such VIEs’ results of operations, assets and liabilities would not be included in the Group’s consolidated financial statements. If such were the case, the Group’s cash flows, financial position and operating performance would be severely adversely affected. The Group’s contractual arrangements with respect to VIEs are approved and in place. The Group’s management believes that such contracts constitute valid and legally binding obligations of each party to such contractual arrangements under the PRC laws, and considers the possibility remote that PRC regulatory authorities with jurisdiction over the Group’s operations and contractual relationships would find the contracts to be unenforceable.</w:t>
      </w:r>
    </w:p>
    <w:p>
      <w:pPr>
        <w:spacing w:after="0" w:line="8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financial information of the consolidated VIEs was included in the accompanying consolidated financial statements, before elimination of balances with the Company and its subsidiaries, as of and for the years ended: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42,514</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27,221</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from group companies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106,312</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140,876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55,307</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prepayments and other assets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186,163</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288,177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to group companies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84,476</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36,827</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 and other payables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36,342</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 and current portion of long-term borrowings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Lease liabilities, current portion</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185,762</w:t>
            </w:r>
          </w:p>
        </w:tc>
        <w:tc>
          <w:tcPr>
            <w:tcW w:w="2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256,407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line="184" w:lineRule="exact"/>
              <w:rPr>
                <w:sz w:val="20"/>
                <w:szCs w:val="20"/>
                <w:color w:val="auto"/>
              </w:rPr>
            </w:pPr>
            <w:r>
              <w:rPr>
                <w:rFonts w:ascii="Times New Roman" w:cs="Times New Roman" w:eastAsia="Times New Roman" w:hAnsi="Times New Roman"/>
                <w:sz w:val="16"/>
                <w:szCs w:val="16"/>
                <w:b w:val="1"/>
                <w:bCs w:val="1"/>
                <w:color w:val="auto"/>
              </w:rPr>
              <w:t>Non</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current liabilities: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to group companies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payables</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283,759</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13" w:right="959" w:bottom="144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right="5300" w:firstLine="8"/>
        <w:spacing w:after="0" w:line="507" w:lineRule="auto"/>
        <w:tabs>
          <w:tab w:leader="none" w:pos="675"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 (Continued) Risks related to VIE structure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revenues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336,047</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costs of revenues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(161,678)</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operating expenses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income/(loss) attributable to Xunlei Limited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goods and services from group companies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goods and services to group companies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activities with external parties</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27,851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 from group companies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investing activities with external parties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(70,526)</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(21,985)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(70,526)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from group companies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60,248</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 to group companies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 with external parties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(27,685)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64,515</w:t>
            </w:r>
          </w:p>
        </w:tc>
        <w:tc>
          <w:tcPr>
            <w:tcW w:w="0" w:type="dxa"/>
            <w:vAlign w:val="bottom"/>
          </w:tcPr>
          <w:p>
            <w:pPr>
              <w:spacing w:after="0"/>
              <w:rPr>
                <w:sz w:val="1"/>
                <w:szCs w:val="1"/>
                <w:color w:val="auto"/>
              </w:rPr>
            </w:pP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accompanying consolidated financial statements and related disclosures. Actual results could differ materially from these estimates. Significant accounting estimates reflected in the Group’s consolidated financial statements mainly include allowance for credit losses, valuation allowance of deferred tax assets, impairment assessment of goodwill and valuation of intangible assets acquired in business combination.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w:t>
      </w:r>
    </w:p>
    <w:p>
      <w:pPr>
        <w:spacing w:after="0" w:line="172" w:lineRule="exact"/>
        <w:rPr>
          <w:sz w:val="20"/>
          <w:szCs w:val="20"/>
          <w:color w:val="auto"/>
        </w:rPr>
      </w:pPr>
    </w:p>
    <w:p>
      <w:pPr>
        <w:ind w:left="680" w:hanging="672"/>
        <w:spacing w:after="0"/>
        <w:tabs>
          <w:tab w:leader="none" w:pos="6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VIEs for which the Company is the primary beneficiary and its subsidiaries. All transactions and balances among the Company, its subsidiaries, the VIEs and VIEs’ subsidiaries have been eliminated upon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80" w:hanging="672"/>
        <w:spacing w:after="0"/>
        <w:tabs>
          <w:tab w:leader="none" w:pos="6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one-half of the voting power, or has the power to appoint or remove the majority of the members of the board of directors to cast majority of votes at meetings of the board of directors or to govern the financial and operating policies of the investee under a statute or agreement among the shareholders or equity 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entity is considered to be a VIE if the entity’s equity holders do not have the characteristics of a controlling financial interest or do not have sufficient equity at risk for the entity to finance its activities without additional subordinated financial support from other parties.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consolidates entities for which the Company is the primary beneficiary if the entity’s other equity holders do not have the characteristics of a controlling financial interest or do not have sufficient equity at risk for the entity to finance its activities without additional subordinated financial support from other parties.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Non-controlling interests represent the portion of the net assets of a subsidiary attributable to interests that are not owned by the Company. The non-controlling interests are presented in the consolidated balance sheets, separately from equity attributable to the shareholders of the Company. Non-controlling interests in the results of the Group are presented on the face of the consolidated statements of comprehensive income/(loss) as an allocation of the total income or loss for the year between non-controlling shareholders and the shareholders of the Company.</w:t>
      </w:r>
    </w:p>
    <w:p>
      <w:pPr>
        <w:spacing w:after="0" w:line="179"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accounts for acquisitions of entities that include inputs and processes and have the ability to generate economic benefit as business combinations. The Group allocates the purchase price of the acquisition to the tangible assets and identifiable intangible assets acquired based on their estimated fair values as of the acquisition date, irrespective of the extent of any noncontrolling interests. The excess of the purchase price over those fair values is recorded as goodwill. If the cost of acquisition is less than the fair value of the net assets of the subsidiary acquired, the difference is recognized directly in the consolidated statements of operations and comprehensive loss.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income/(loss). Acquisition-related costs are expensed as incurred.</w:t>
      </w:r>
    </w:p>
    <w:p>
      <w:pPr>
        <w:spacing w:after="0" w:line="184" w:lineRule="exact"/>
        <w:rPr>
          <w:sz w:val="20"/>
          <w:szCs w:val="20"/>
          <w:color w:val="auto"/>
        </w:rPr>
      </w:pPr>
    </w:p>
    <w:p>
      <w:pPr>
        <w:ind w:left="680" w:hanging="672"/>
        <w:spacing w:after="0"/>
        <w:tabs>
          <w:tab w:leader="none" w:pos="6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 The functional currency of other subsidiaries, the VIEs and VIEs’ subsidiaries located in the Mainland China is the Renminbi (“RMB”), and the functional currency of other subsidiaries located outside the Mainland China is the US$. Transactions denominated in foreign currencies are remeasured into the functional currency at the exchange rates prevailing on the transaction dates. Financial assets and liabilities denominated in foreign currencies are remeasured into the functional currency using the applicable exchange rates prevailing at the balance sheet date. The resulting exchange gains and losses from foreign currency transactions are included in “Other income, net” within the consolidated statements of comprehensive income/(loss).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monthly average exchange rate for the year and the exchange rates at the balance sheet date to translate the operating results and financial position, respectively, of its subsidiaries whose functional currency is other than the US$. The resulting translation differences are recorded in cumulated translation adjustments, a component of shareholders’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 used is based on the rates released by Chinese State Administration of Foreign Exchange.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that is restricted as to withdrawal or for use or pledged as security is reported separately on the face of the consolidated balance sheets, and is included in the total cash, cash equivalents, and restricted cash in the consolidated statements of cash flows. The Group’s restricted cash represented the cash balance on deposit as required by the court for ongoing litigations as of December 31, 2025.</w:t>
      </w:r>
    </w:p>
    <w:p>
      <w:pPr>
        <w:spacing w:after="0" w:line="172" w:lineRule="exact"/>
        <w:rPr>
          <w:sz w:val="20"/>
          <w:szCs w:val="20"/>
          <w:color w:val="auto"/>
        </w:rPr>
      </w:pPr>
    </w:p>
    <w:p>
      <w:pPr>
        <w:ind w:left="680" w:hanging="672"/>
        <w:spacing w:after="0"/>
        <w:tabs>
          <w:tab w:leader="none" w:pos="6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investments include deposits placed with banks with original maturities of more than three months but within one year and investments in wealth management products.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Wealth management products are certain deposits with variable interest rates or principal not guaranteed with certain financial institutions. In accordance with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for investments in financial instruments with a variable interest rate indexed to performance of underlying assets, the Group elected the fair value method at the date of initial recognition and carried these investments subsequently at fair value. Changes in the fair value are reflected in the consolidated statements of comprehensive income/(loss). Interest generated from short-term investments are recorded when interest payments are received at the maturity date. It is recorded as “Other income, net” on the consolidated statements of comprehensive income/(loss) and measured based on the actual amount of interest the Group received.</w:t>
      </w:r>
    </w:p>
    <w:p>
      <w:pPr>
        <w:spacing w:after="0" w:line="185"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expected credit losses methodology requires that the full amount of expected credit losses for the lifetime of the financial instrument be recorded at the time it is originated or acquired, considering relevant historical experience, current conditions and reasonable and supportable macroeconomic forecasts that affect the collectability of financial assets, and adjusted for changes in expected lifetime credit losses subsequently, which may require earlier recognition of credit losses. The Group’s accounts receivable, due from related parties and other current assets (including other receivables) and other non-current assets (including other long-term receivables) are within the scope of ASC Topic 326.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consist primarily of receivables from cloud computing customers, third-party payment channels and advertising customers. 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and assessed on a pool basis. The credit loss assessment for each pool was mainly based on past collection experience, consideration of current and future economic conditions and changes in the Group’s collection trends. Other key factors that influence the expected credit loss analysis include credit rating, payment terms offered in the normal course of business to customers, and industry-specific factors that could impact the Group’s receivables. Additionally, external data and macroeconomic factors are also considered.</w:t>
      </w:r>
    </w:p>
    <w:p>
      <w:pPr>
        <w:spacing w:after="0" w:line="188" w:lineRule="exact"/>
        <w:rPr>
          <w:sz w:val="20"/>
          <w:szCs w:val="20"/>
          <w:color w:val="auto"/>
        </w:rPr>
      </w:pPr>
    </w:p>
    <w:p>
      <w:pPr>
        <w:ind w:left="720" w:hanging="712"/>
        <w:spacing w:after="0"/>
        <w:tabs>
          <w:tab w:leader="none" w:pos="7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actual cost on a weighted average basis. Net realizable value is the amount that can be realized from the sale of the inventory in the normal course of business after allowing for the costs of realization.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80" w:hanging="672"/>
        <w:spacing w:after="0"/>
        <w:tabs>
          <w:tab w:leader="none" w:pos="6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holds investments in publicly traded companies, privately-held companies and private equity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investments in publicly traded companies are reported at fair value as equity investment with readily determinable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for the years ended December 31, 2023, 2024 and 2025 are recognized in “Other income, net”.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investments in common stock or in-substance common stock issued by privately-held companies over which the Group does not have significant influence and without readily determinable fair value, the Group has elected to record these investments at cost, less impairment, and plus or minus subsequent adjustments for observable price changes. Under this measurement alternative, changes in the carrying value of equity investments will be required to be made whenever there are observable price changes in orderly transactions for the identical or similar investment of the same issuer. Management evaluates the impairment of long-term equity investments at the end of each reporting period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when the evaluation indicates that the investment is impaired, and the fair value is less than the carrying amount. The impairment amount equals the difference between the carrying amount and its fair value, and the fair value becomes the new cost basis of investment.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in private equity funds, over which the Group does not have the ability to exercise significant influence, are measured using the net asset value per share based on the practical expedient in ASC Topic 820 (“NAV practical expedient”).</w:t>
      </w:r>
    </w:p>
    <w:p>
      <w:pPr>
        <w:spacing w:after="0" w:line="158" w:lineRule="exact"/>
        <w:rPr>
          <w:sz w:val="20"/>
          <w:szCs w:val="20"/>
          <w:color w:val="auto"/>
        </w:rPr>
      </w:pPr>
    </w:p>
    <w:p>
      <w:pPr>
        <w:ind w:left="640" w:hanging="632"/>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Residual rate is determined based on the economic value of the asset at the end of the estimated useful life as a percentage of the original cost. If the Group commits to a plan to abandon a long-lived asset before the end of its previous estimated useful life, depreciation shall be revised to reflect a shortened useful life.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4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Residual rate</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Building decoration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Servers and network equipment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3 years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Repair and maintenance costs are expensed as incurred. Expenditures that substantially increase an asset’s useful life are capitalized. Upon sale or disposal, gain or loss on the disposal of property and equipment is the difference between the net sales proceeds and the carrying amount of the relevant assets and is recognized in the consolidated statements of comprehensive income/(loss), the cost and related accumulated depreciation are removed from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720" w:hanging="712"/>
        <w:spacing w:after="0"/>
        <w:tabs>
          <w:tab w:leader="none" w:pos="7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net assets acquired in a business combination. Goodwill is not amortized but is tested for impairment on an annual basis, or more frequently if events or changes in circumstances indicate that it might be impaired.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first assesses qualitative factors to determine whether it is more likely than not that the fair value of a reporting unit is less than its carrying amount. In the qualitative assessment, the Group considers primary factors such as industry and market considerations, overall financial performance of the reporting unit, and other specific information related to the operations. If the Group decides, as a result of its qualitative assessment, that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If the carrying amount of the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The Group performs goodwill impairment testing at the reporting unit level on December 31 annually and more frequently if indicators of impairment exist.</w:t>
      </w:r>
    </w:p>
    <w:p>
      <w:pPr>
        <w:spacing w:after="0" w:line="186" w:lineRule="exact"/>
        <w:rPr>
          <w:sz w:val="20"/>
          <w:szCs w:val="20"/>
          <w:color w:val="auto"/>
        </w:rPr>
      </w:pPr>
    </w:p>
    <w:p>
      <w:pPr>
        <w:ind w:left="580" w:hanging="572"/>
        <w:spacing w:after="0"/>
        <w:tabs>
          <w:tab w:leader="none" w:pos="5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carried at cost less accumulated amortization with no residual value and impairment loss, if any. The Group performs valuation of the intangible assets arising from business combination to determine the fair value to be assigned to each asset acquired. The Group determines the fair value using the appropriate approach which requires management to make significant estimates and assumptions. The acquired intangible assets are recognized and measured at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is computed using the straight-line method over the estimated useful lives of the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4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Estimated useful lives</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Brand name</w:t>
            </w:r>
          </w:p>
        </w:tc>
        <w:tc>
          <w:tcPr>
            <w:tcW w:w="3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3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years</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Audio-visual license</w:t>
            </w: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Acquired computer software</w:t>
            </w:r>
          </w:p>
        </w:tc>
        <w:tc>
          <w:tcPr>
            <w:tcW w:w="3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Land use rights represent lease prepayments to the local government authorities, which were identified as operating lease assets upon adoption of ASC 842 on January 1, 2019.</w:t>
      </w:r>
    </w:p>
    <w:p>
      <w:pPr>
        <w:spacing w:after="0" w:line="158" w:lineRule="exact"/>
        <w:rPr>
          <w:sz w:val="20"/>
          <w:szCs w:val="20"/>
          <w:color w:val="auto"/>
        </w:rPr>
      </w:pPr>
    </w:p>
    <w:p>
      <w:pPr>
        <w:ind w:left="720" w:hanging="712"/>
        <w:spacing w:after="0"/>
        <w:tabs>
          <w:tab w:leader="none" w:pos="7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include property, plant and equipment, definite lived intangible assets and operating lease assets. The Group evaluates its long-lived assets for impairment whenever events or changes in circumstances indicate that the carrying amount of an asset may no longer be recoverable. The Group assesses the recoverability of the long-lived assets by comparing the carrying value of the long-lived assets to the estimated undiscounted future cash flows expected to be received from use of the assets and their eventual disposition at the lowest level of identifiable cash flows. Such assets are considered to be impaired if the sum of the expected undiscounted cash flows is less than the carrying amount of the assets. If the Group identifies an impairment, the carrying value of the asset will be reduced to its estimated fair value based on a discounted cash flow approach or, when available and appropriate, to comparable market values.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ind w:left="680" w:hanging="672"/>
        <w:spacing w:after="0"/>
        <w:tabs>
          <w:tab w:leader="none" w:pos="6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that cover a wide range of matters. Liabilities for such contingencies are recorded when it is probable that a liability has been incurred and the amount of the assessment can be reasonably estimated. In regard to legal cost, the Group recorded such costs as incurred.</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which may result in a loss to the Group, but which will only be resolved when one or more future events occur or fail to occur. The Group’s management and its legal counsel assess such contingent liabilities, and such assessment inherently involves an exercise of judgment. In assessing loss contingencies related to legal proceedings that are pending against the Group or unasserted claims that may result in such proceedings, the Group, in consultation with its legal counsel, evaluates the perceived merits of any legal proceedings or unasserted claims as well as the perceived merits of the amount of relief sought or expected to be sought therein.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Group’s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3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0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 a lessee</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Lessees are required to recognize an operating lease asset and a lease liability, initially measured at the present value of the lease payments, in its balance sheet under ASC Topic 842.</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Lessees shall follow the requirements to classify most leases as either financing or operating using principles similar to previous lease accounting. In the statement of comprehensive income/(loss), a lessee shall present both of the following: a) for finance leases, the interest expense on the lease liability and amortization of the operating lease asset are not required to be presented as separate line items and shall be presented in a manner consistent with how the entity presents other interest expense and depreciation or amortization of similar assets, respectively; b) for operating leases, lease expense shall be included in the lessee’s income from operations.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have elected the short-term lease exemption for all leases with a lease term of 12 months. Payments associated with short-term leases are recognized on a straight-line basis as an expense in profit or loss.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standard also requires a lessee to recognize a single lease cost related to operating lease, calculated so that the cost of the lease is allocated over the lease term, on a generally straight-line basis.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assesses, at contract inception, whether a contract is, or contains, a lease. That is, if the contract conveys the right to control the use of an identified asset for a period of time in exchange for consideration.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the appropriate discount rate to use in calculating the present value of contractual lease payments, management regularly evaluates the lessee’s incremental borrowing rate, as the rate implicit in the lease cannot be readily determined.</w:t>
      </w:r>
    </w:p>
    <w:p>
      <w:pPr>
        <w:spacing w:after="0" w:line="162" w:lineRule="exact"/>
        <w:rPr>
          <w:sz w:val="20"/>
          <w:szCs w:val="20"/>
          <w:color w:val="auto"/>
        </w:rPr>
      </w:pPr>
    </w:p>
    <w:p>
      <w:pPr>
        <w:ind w:left="680" w:hanging="672"/>
        <w:spacing w:after="0"/>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 a lessor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leases office building. The arrangements are in the nature of operating lease which is neither a sales-type nor direct-financing lease. As such, the underlying assets remain on the Group’s balance sheet at their carrying value and continue to depreciate based on the estimated useful life. Rental income is recognized on a straight-line basis over the rental period and recorded as “total revenues, net of rebates and discounts” in the consolidated statements of comprehensive income/(loss). The Group records an unbilled rent receivable, which is the amount by which straight-line rental income exceeds rents currently billed in accordance with the lease.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ind w:left="680" w:hanging="672"/>
        <w:spacing w:after="0"/>
        <w:tabs>
          <w:tab w:leader="none" w:pos="6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the control of the services or goods is transferred to the customer. Depending on the terms of the contract and the laws that apply to the contract, control of the services and goods may be transferred over time or at a point in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contract liability is the Group’s obligation to transfer goods or services to a customer for which the Group has received consideration (or an amount of consideration is due) from the customer. Contract costs include incremental costs of obtaining a contract and costs to fulfil a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generates revenues from various streams. Net revenues presented in the consolidated statements of comprehensive income/(loss) represent revenues from service and product sales net off sales discounts and rebates, value-added tax and related surcharges.</w:t>
      </w:r>
    </w:p>
    <w:p>
      <w:pPr>
        <w:spacing w:after="0" w:line="176" w:lineRule="exact"/>
        <w:rPr>
          <w:sz w:val="20"/>
          <w:szCs w:val="20"/>
          <w:color w:val="auto"/>
        </w:rPr>
      </w:pPr>
    </w:p>
    <w:p>
      <w:pPr>
        <w:ind w:left="720" w:hanging="712"/>
        <w:spacing w:after="0"/>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operates a VIP membership program where VIP members can have access to high - speed online acceleration services, online streaming and other access privileges. The membership fee is time-based and is collected up-front from subscribers. The terms of time-based subscriptions range from one month to twelve months, with the subscribers having the option to renew the contract. The receipts of subscription fees are initially recorded as contract liabilities. The Group satisfies its various performance obligations by providing services throughout the subscription period and revenue is recognized rateably over the period of subscription as services are rendered. Unrecognized portion beyond 12 months from balance sheet date is classified as a long-term liability. The Group evaluated whether it acts as a principal or an agent in these transactions. The Group concluded it is the principal and accordingly presents revenue on a gross basis, as it controls the specified services before they are transferred to customers, establishes prices, bears credit risk, and is primarily responsible for fulfilling the performance obligations. Service fees levied by online system and mobile payment channels are recorded as the cost of revenues in the same period as the revenue for the membership fee is recognized.</w:t>
      </w:r>
    </w:p>
    <w:p>
      <w:pPr>
        <w:spacing w:after="0" w:line="194"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streaming revenues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operates live streaming platforms and provides an internet infrastructure where users can access the platform, interact with the streamers, and purchase virtual items which they can reward to streamers in the live streaming platform to show support or enhance communication and interaction with streamers.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designs, creates and offers various virtual items for sales to users with pre-determined selling price. The Group evaluates and determines that it is the principal to fulfill all obligations related to the sales of virtual items, and views users to be its customers. The Group shares a proportion of proceeds from sales of virtual items with streamers and talent agencies based on revenue sharing arrangements, mainly to attract user traffic on the platform. The Group recognizes revenue from sales of virtual items to the users on a gross basis when the relevant virtual items are presented to the streamers or over the duration of stated period of the time-based virtual items. The Group does not have further obligations to the users after the virtual items are consumed immediately or after the stated period for time-based virtual items. The revenue sharing with streamers and talent agencies is accounted for as costs of revenues.</w:t>
      </w:r>
    </w:p>
    <w:p>
      <w:pPr>
        <w:spacing w:after="0" w:line="189" w:lineRule="exact"/>
        <w:rPr>
          <w:sz w:val="20"/>
          <w:szCs w:val="20"/>
          <w:color w:val="auto"/>
        </w:rPr>
      </w:pPr>
    </w:p>
    <w:p>
      <w:pPr>
        <w:ind w:left="720" w:hanging="712"/>
        <w:spacing w:after="0"/>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computing revenues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 monthly basis, the Group records the bandwidth it delivers and recognizes revenue from customers under contractual rates applied (price per Gigabyte (“GB”) of bandwidth multiplies total GBs of bandwidth per month).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ind w:left="680" w:hanging="672"/>
        <w:spacing w:after="0"/>
        <w:tabs>
          <w:tab w:leader="none" w:pos="6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(Continued)</w:t>
      </w:r>
    </w:p>
    <w:p>
      <w:pPr>
        <w:spacing w:after="0" w:line="2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Other internet value-added services revenues</w:t>
      </w:r>
    </w:p>
    <w:p>
      <w:pPr>
        <w:spacing w:after="0" w:line="225" w:lineRule="exact"/>
        <w:rPr>
          <w:sz w:val="20"/>
          <w:szCs w:val="20"/>
          <w:color w:val="auto"/>
        </w:rPr>
      </w:pPr>
    </w:p>
    <w:p>
      <w:pPr>
        <w:ind w:left="700" w:hanging="692"/>
        <w:spacing w:after="0"/>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derives advertising revenues from online advertising. The contracts with customers may include combinations of various advertising formats to allow advertisers to place advertisements on different areas of the Group’s platforms. Each format of advertisements is considered as a distinct performance obligation. Consideration is allocated to each performance obligation based on its standalone selling price. The Group recognizes revenue on a pro-rata basis for each performance obligation, ratably over the agreed period of display or upon the specified actions as requested by the customers are delivered.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Group has the latitude in establishing the price and is primarily responsible for delivering the advertising services by itself, the Group acts as the principal and recognizes revenue on a gross basis for the advertising contracts. Conversely, when the Group is not primarily responsible for the advertising arrangements by itself, it acts as an agent. In such cases, the Group recognizes its entitled share of the revenues in accordance with the cooperation agreements.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provides sales rebates to customers, which are negotiated on a contract-by-contract basis. These sales rebates are accounted for as variable considerations and are estimated based on the most likely amount to be provided to customers.</w:t>
      </w:r>
    </w:p>
    <w:p>
      <w:pPr>
        <w:spacing w:after="0" w:line="162" w:lineRule="exact"/>
        <w:rPr>
          <w:sz w:val="20"/>
          <w:szCs w:val="20"/>
          <w:color w:val="auto"/>
        </w:rPr>
      </w:pPr>
    </w:p>
    <w:p>
      <w:pPr>
        <w:ind w:left="640" w:hanging="632"/>
        <w:spacing w:after="0"/>
        <w:tabs>
          <w:tab w:leader="none" w:pos="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games distribution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cooperation agreements with third party online game operators. The Group provides the third-party online game operators with platforms, which the online game operators can host the online games and users can purchase virtual currencies that can be used in games. The third-party online game operators are the principal in the provision of games to users, and the Group is mainly responsible for the provision of platforms, payment collection and market promotion services to the game operators.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Group views the game operators to be its customers, revenue from such online games distribution services are recognized on a net basis based on a pre-determined portion of proceeds earned from users purchase virtual currencies, when the performance obligations are satisfied, which is generally when the users purchase the virtual currencies.</w:t>
      </w:r>
    </w:p>
    <w:p>
      <w:pPr>
        <w:spacing w:after="0" w:line="172" w:lineRule="exact"/>
        <w:rPr>
          <w:sz w:val="20"/>
          <w:szCs w:val="20"/>
          <w:color w:val="auto"/>
        </w:rPr>
      </w:pPr>
    </w:p>
    <w:p>
      <w:pPr>
        <w:ind w:left="700" w:hanging="679"/>
        <w:spacing w:after="0"/>
        <w:tabs>
          <w:tab w:leader="none" w:pos="70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comprise primarily salaries and benefits of sales and marketing personnel and external advertising and market promotion expenses. The external advertising and market promotion expenses from operations amounted to approximately US$29,140,000, US$29,783,000 and US$63,338,000 for the years ended December 31, 2023, 2024 and 2025, respectively.</w:t>
      </w:r>
    </w:p>
    <w:p>
      <w:pPr>
        <w:spacing w:after="0" w:line="172" w:lineRule="exact"/>
        <w:rPr>
          <w:sz w:val="20"/>
          <w:szCs w:val="20"/>
          <w:color w:val="auto"/>
        </w:rPr>
      </w:pPr>
    </w:p>
    <w:p>
      <w:pPr>
        <w:ind w:left="700" w:hanging="692"/>
        <w:spacing w:after="0"/>
        <w:tabs>
          <w:tab w:leader="none" w:pos="70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(including related share-based compensation), depreciation of property and equipment, professional service fees and other administrative expenses.</w:t>
      </w:r>
    </w:p>
    <w:p>
      <w:pPr>
        <w:spacing w:after="0" w:line="158" w:lineRule="exact"/>
        <w:rPr>
          <w:sz w:val="20"/>
          <w:szCs w:val="20"/>
          <w:color w:val="auto"/>
        </w:rPr>
      </w:pPr>
    </w:p>
    <w:p>
      <w:pPr>
        <w:ind w:left="700" w:hanging="692"/>
        <w:spacing w:after="0"/>
        <w:tabs>
          <w:tab w:leader="none" w:pos="7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staff costs and share-based compensation expense for research and development personnel, bandwidth and server related costs incurred by research and development functions and other expenses that are directly attributable to the development of new technologies and products for the businesses of the Company. The Group expenses all research and development expenses as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ind w:left="640" w:hanging="632"/>
        <w:spacing w:after="0"/>
        <w:tabs>
          <w:tab w:leader="none" w:pos="6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and uncertain tax positions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and tax loss carry forwards. Deferred tax assets and liabilities are measured using enacted tax rates in effect for the year in which the difference is expected to be recovered or settled. The effect on deferred tax assets and liabilities of a change in tax rates is recognized in the consolidated statement of operations in the period that includes the enactment date. A valuation allowance is provided to reduce the carrying amount of deferred tax assets if it is considered more likely than not that some portion, or all, of the deferred tax assets will not be realized. The estimation of future taxable income involves significant judgement and estimates. Based on management’s estimated future taxable income, management concluded that it is more likely than not that the net operating losses carried forward cannot be utilized prior to their respective expiration dates. The Group applied the ASC 740 “Income Taxes” regarding uncertain tax positions and evaluated its open tax positions that exist in each jurisdiction for each reporting period. If an uncertain tax position is taken or expected to be taken in a tax return, the tax benefit from that uncertain position is recognized in the Group’s consolidated financial statements if it is more likely than not that the position is sustainable upon examination by the relevant taxing authority. The Group did not have any significant uncertain tax position and there was no effect on its financial condition or results of operations as a result of applying the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Group recognizes interest and penalties accrued on any unrecognized tax benefits as a component of income tax expense,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Value-added Tax (“VAT”)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VAT payable on goods sold or taxable labor services provided by a general VAT taxpayer for a taxable period is the net balance of the output VAT for the period after crediting the input VAT for the period. In addition to the product revenues currently subject to VAT at a rate of 13%, the Group’s revenue from subscription, live streaming, cloud computing services and other internet value-added services are subject to VAT at a rate of 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policy of the PRC State Tax Bureau, taxpayers in the productive service industry are entitled to claim 105% of the input tax incurred as tax credit in determining VAT payable for the year ended December 31, 2023. There was no similar policy for the years ended December 31, 2024 and 2025.</w:t>
      </w:r>
    </w:p>
    <w:p>
      <w:pPr>
        <w:spacing w:after="0" w:line="172" w:lineRule="exact"/>
        <w:rPr>
          <w:sz w:val="20"/>
          <w:szCs w:val="20"/>
          <w:color w:val="auto"/>
        </w:rPr>
      </w:pPr>
    </w:p>
    <w:p>
      <w:pPr>
        <w:ind w:left="680" w:hanging="672"/>
        <w:spacing w:after="0"/>
        <w:tabs>
          <w:tab w:leader="none" w:pos="68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Full-time employees of the Company’s subsidiaries, VIEs and VIEs’ subsidiaries in the PRC participate in a government mandated defined contribution plan pursuant to which certain pension benefits, medical care, unemployment insurance, employee housing fund and other welfare benefits are provided to employees. Chinese labor regulations require that the subsidiaries, VIEs and VIEs’ subsidiaries of the Company make contributions to the government for these benefits based on certain percentages of the employees’ salaries. The Group has no legal obligation for the benefits beyond the contributions made. The total amounts from operations for such employee benefits, which are expensed as incurred, were US$16,656,000, US$16,809,000 and US$19,505,000 for the years ended December 31, 2023, 2024 and 2025, respectively.</w:t>
      </w:r>
    </w:p>
    <w:p>
      <w:pPr>
        <w:spacing w:after="0" w:line="185" w:lineRule="exact"/>
        <w:rPr>
          <w:sz w:val="20"/>
          <w:szCs w:val="20"/>
          <w:color w:val="auto"/>
        </w:rPr>
      </w:pPr>
    </w:p>
    <w:p>
      <w:pPr>
        <w:ind w:left="620" w:hanging="612"/>
        <w:spacing w:after="0"/>
        <w:tabs>
          <w:tab w:leader="none" w:pos="6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Share-based awards granted are measured at fair value on grant date. For share-based awards granted with service-only condition, the Group elected to recognize compensation costs net of estimated forfeitures on a straight-line basis over the requisite service period, which is generally the same as the vesting period. The amount of compensation cost recognized at any date is at least equal to the portion of the grant-date value of the award that is vested at that date. For awards with performance conditions, compensation cost is recognized on an accelerated basis if it is probable that the performance condition will be achieved. The Group reassesses the probability of vesting at each reporting period for awards with performance conditions and adjusts compensation cost based on its probability assessment, unless in certain situations, the Group may not be able to determine that it is probable that a performance condition will be satisfied until the event occurs.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44" w:lineRule="exact"/>
        <w:rPr>
          <w:sz w:val="20"/>
          <w:szCs w:val="20"/>
          <w:color w:val="auto"/>
        </w:rPr>
      </w:pPr>
    </w:p>
    <w:p>
      <w:pPr>
        <w:ind w:left="700" w:hanging="692"/>
        <w:spacing w:after="0"/>
        <w:tabs>
          <w:tab w:leader="none" w:pos="7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subsidies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receives subsidies from the local PRC government for general use or purchase of equipment. General-use subsidies which are not subject to any conditions or specific use requirements are recorded as subsidy income in the consolidated statements of comprehensive income/(loss). Subsidies for purchase of equipment are recorded as deferred government grant when received, and are recorded as other income over the expected useful life of the assets after the related equipment has been purchased.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Group’s government grants were in the form of cash and recognized upon receipt as further performance by the Group was not required.</w:t>
      </w:r>
    </w:p>
    <w:p>
      <w:pPr>
        <w:spacing w:after="0" w:line="158"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Chief Executive Officer has been identified as the chief operating decision maker (“CODM”), who reviews consolidated operating results of the Group when making decisions about allocating resources and assessing performance of the Group.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the acquisition of Hupu in May 2025, the Group started to report results of operations in two segments: (i) Xunlei, for the pre-existing business, and (ii) Hupu, for the newly acquired business.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CODM changed to assess performance for each of the reportable segments and decide how to allocate resources based on segment total revenues and segment income from operations. The CODM uses segment total revenues and segment income from operations to monitor budget versus actual results and in competitive analysis by benchmarking to the Group’s competitors. The competitive analysis along with the monitoring of budgeted versus actual results are used in assessing performance of each segment and in establishing management’s compensation. Bandwidth costs, employee benefits expenses, advertising and market promotion expenses, revenue-sharing costs and share-based compensation expenses are significant segment expenses identified by the Group.</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asset information is provided for reportable segments as no such information is provided to the CODM to evaluate the segment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44"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a summary of the Group’s reportable segment results and the reconciliation from the segment income from operations to the consolidated income before income taxes for the year ended December 31, 2025. There were no material transactions between reportable segments for the year ended December 31, 2025.</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Xunlei</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Hupu</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streaming revenue and others (Note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computing services and product revenue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total revenues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442,289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Bandwidth costs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Advertising and market promotion expenses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Revenue-sharing costs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(Note b)</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5,023</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1,046,325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mainly comprised online advertising, online games and related distribution services, technical services and rental services.</w:t>
      </w:r>
    </w:p>
    <w:p>
      <w:pPr>
        <w:spacing w:after="0" w:line="117"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comprised payment handling charges, depreciation and amortization charges, labor outsourcing expenses and professional service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71"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ASC 280, the Company has retrospectively recast the segment financial information for the years ended December 31, 2023 and 2024 to conform to the new segment structure as below. The Group operated under a single reportable segment in prior periods, the retrospective recast primarily involves reclassifying significant segment expenses and updating usage metrics. No changes were made to consolidated financial statements.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119,343</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 revenue and others (Note a)</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computing services and product revenue</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total revenues</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364,911</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Bandwidth costs</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(112,522)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(101,373)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and market promotion expenses</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Revenue-sharing costs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(67,302)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(Note b)</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(46,510)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mainly comprised online advertising, online games and related distribution services, technical services and rental services.</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comprised payment handling charges, depreciation and amortization charges, labor outsourcing expenses and professional service fees.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2024 and 2025, around 91%, 79% and 79% of total revenues of the Group were derived from mainland China, respectively. In addition, the Group’s long-lived assets are substantially located in the PRC, the amount of long-lived assets attributable to any other individual country was not material as of December 31, 2023, 2024 and 2025. Therefore, no geographical segments are presented.</w:t>
      </w:r>
    </w:p>
    <w:p>
      <w:pPr>
        <w:spacing w:after="0" w:line="122"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basic income per share is computed by dividing net income attributable to holders of common shares by the weighted - average number of common shares outstanding during the year.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diluted income per share is calculated by dividing net income attributable to common shareholders as adjusted for the effect of dilutive common equivalent shares, if any, by the weighted - average number of common and dilutive common equivalents shares outstanding during the year. Dilutive equivalent shares are excluded from the computation of diluted income per share if their effects would be anti-dilutive. Common share equivalents are included for the unvested stock under the treasury stock method.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the Group during the period from transactions and other events and circumstances excluding transactions resulting from investments from shareholders and distributions to shareholders. Accumulated other comprehensive loss, as presented on the accompanying consolidated balance sheets, consists of cumulative translation adjustments.</w:t>
      </w:r>
    </w:p>
    <w:p>
      <w:pPr>
        <w:spacing w:after="0" w:line="131"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appropriation and statutory reserves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Group’s subsidiaries, the VIEs and VIEs’ subsidiaries incorporated in the PRC are required on an annual basis to make appropriations of retained earnings set at certain percentage of after-tax profit determined in accordance with PRC accounting standards and regulations. Appropriation to the statutory general reserve should be at least 10% of the after-tax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Group does not do so.</w:t>
      </w:r>
    </w:p>
    <w:p>
      <w:pPr>
        <w:spacing w:after="0" w:line="158" w:lineRule="exact"/>
        <w:rPr>
          <w:sz w:val="20"/>
          <w:szCs w:val="20"/>
          <w:color w:val="auto"/>
        </w:rPr>
      </w:pPr>
    </w:p>
    <w:p>
      <w:pPr>
        <w:ind w:left="740" w:hanging="732"/>
        <w:spacing w:after="0"/>
        <w:tabs>
          <w:tab w:leader="none" w:pos="7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December 31, 2023, 2024 and 2025. The Group does not have any present plan to pay any dividends on common shares in the foreseeable future. The Group currently intends to retain the available funds and any future earnings to operate and expand its business.</w:t>
      </w:r>
    </w:p>
    <w:p>
      <w:pPr>
        <w:spacing w:after="0" w:line="172" w:lineRule="exact"/>
        <w:rPr>
          <w:sz w:val="20"/>
          <w:szCs w:val="20"/>
          <w:color w:val="auto"/>
        </w:rPr>
      </w:pPr>
    </w:p>
    <w:p>
      <w:pPr>
        <w:ind w:left="640" w:hanging="632"/>
        <w:spacing w:after="0"/>
        <w:tabs>
          <w:tab w:leader="none" w:pos="6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No.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through improvements to income tax disclosures primarily related to the rate reconciliation and income taxes paid information. This guidance is effective for periods beginning after December 15, 2024, with early adoption permitted. The Company adopted this guidance as of January 1, 2025, and the adoption did not have a material impact on its consolidated financial statements (Note 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40" w:hanging="632"/>
        <w:spacing w:after="0"/>
        <w:tabs>
          <w:tab w:leader="none" w:pos="6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No. 2024-03, Income Statement (Topic 220)- Reporting Comprehensive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No. 2024-03 requires publicly-traded business entities to disclose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which requires an entity involved in an acquisition transaction effected primarily by exchanging equity interests when the legal acquiree is a VIE that meets the definition of a business to consider specific factors to determine the accounting acquirer and removes the requirement that the primary beneficiary always is the acquirer for certain transactions. Under the amendments, acquisition transactions in which the legal acquiree is a VIE will, in more instances, result in the same accounting outcomes as economically similar transactions in which the legal acquiree is a voting interest entity. The amendments do not change the accounting for a transaction determined to be a reverse acquisition or a transaction in which the legal acquirer is not a business and is determined to be the accounting acquiree. The new guidance is required to be applied prospectively to any acquisition transaction that occurs after the initial application date. This guidance is effective for the Company for the year ending March 31, 2028. Early adoption is permitted.</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 - Internal-Use Software (Subtopic 350-40). 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ASU No. 2025-10 establishes guidance on the recognition, measurement, and presentation of government grants received by business entities. The guidance is effective for annual reporting periods beginning after December 15, 2028, and interim reporting periods within those annual reporting periods. Early adoption is permitted.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is currently evaluating the impact of the above new accounting pronouncements or guidance on the consolidated financial statements.</w:t>
      </w:r>
    </w:p>
    <w:p>
      <w:pPr>
        <w:spacing w:after="0" w:line="158" w:lineRule="exact"/>
        <w:rPr>
          <w:sz w:val="20"/>
          <w:szCs w:val="20"/>
          <w:color w:val="auto"/>
        </w:rPr>
      </w:pPr>
    </w:p>
    <w:p>
      <w:pPr>
        <w:ind w:left="680" w:hanging="672"/>
        <w:spacing w:after="0"/>
        <w:tabs>
          <w:tab w:leader="none" w:pos="68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Hupu in 2025</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26, 2025, the Group entered into a definitive agreement to acquire 100% of equity interest of Shanghai Kuanghui for a total cash consideration of RMB500.0 million (approximately US$68,730,000).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Shanghai Kuanghui and its subsidiaries mainly focus on the operation of Hupu, which is a sports media and data platform in the PRC. The Group believes that the acquisition will enhance the Group’s long-term value by leveraging Xunlei’s user base and content transmission technology to monetize Hupu’s premium sports content and engaged community, while expanding Xunlei’s content ecosystem and diversifying revenue beyond its core content transmission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Hupu in 2025 (Continued)</w:t>
      </w:r>
    </w:p>
    <w:p>
      <w:pPr>
        <w:spacing w:after="0" w:line="22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May 31, 2025 (the “Acquisition Date”), the acquisition was completed. From the Acquisition Date, the financial results of Shanghai Kuanghui have been included in the Company’s consolidated financial statements.</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total consideration comprised (i) cash consideration of RMB400.0 million payable at closing, and (ii) deferred cash consideration of RMB100.0 million in nominal value, payable in two installments after closing: RMB80.0 million on the first anniversary of the closing date, and RMB20.0 million on the second anniversary of the closing date. The following table summarizes the fair value of the consideration transferred as of the Acquisition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55,876</w:t>
            </w:r>
          </w:p>
        </w:tc>
      </w:tr>
      <w:tr>
        <w:trPr>
          <w:trHeight w:val="216"/>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deferred consideration</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w:t>
            </w:r>
          </w:p>
        </w:tc>
      </w:tr>
      <w:tr>
        <w:trPr>
          <w:trHeight w:val="20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2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68,730</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deferred consideration is not subject to interest. The Acquisition Date fair value of the deferred consideration was estimated using the present value of expected future payments at a discount rate of 2.5%.</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deferred consideration is subject to a post-closing adjustment based on the net working capital of Shanghai Kuanghui as of the Acquisition Date. As of December 31, 2025, the carrying amount of the deferred consideration was US$12,598,000, of which US$9,850,000 was classified in the current portion and US$2,748,000 in the non-current portion of “Accrued expenses and other payables” (Note 15).</w:t>
      </w:r>
    </w:p>
    <w:p>
      <w:pPr>
        <w:spacing w:after="0" w:line="18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consideration to the estimated fair values of assets acquired and liabilities assumed as of the Acquisition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 (including the cash acquired of US$3,742,000)</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(Note 12):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Customer relationships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Brand name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Technology</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(Note 13)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Group used the multi-period excess earnings method to estimate the fair value of acquired customer relationships, which was determined as the present value of the excess earnings attributable to the asset at a discount rate of 19.5%. For the acquired brand name and technology, the relief-from-royalty method was applied, using royalty rates of 5.0% and 3.0%, respectively, and the fair values were estimated as the present value of the after-tax royalty savings at discount rates of 19.5%. Other key assumptions included forecasted revenue growth rates ranging from 2.0% to 6.8% and a customer attrition rate of approximately 10.0%.</w:t>
      </w:r>
    </w:p>
    <w:p>
      <w:pPr>
        <w:spacing w:after="0" w:line="18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Goodwill is calculated as the excess of the purchase price over the fair value of the identifiable net assets acquired. The goodwill of US$38,454,000 was assigned to the Hupu reportable segment and is primarily attributable to expected synergies from the assembled workforce and the anticipated benefits of post-acquisition business cooperation with Xunlei. Goodwill is not expected to be deductible for income tax purposes.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Hupu in 2025 (Continued)</w:t>
      </w:r>
    </w:p>
    <w:p>
      <w:pPr>
        <w:spacing w:after="0" w:line="22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Direct acquisition-related costs were immaterial and expensed as incurred within “General and administrative expenses” in the consolidated statements of comprehensive income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 data and pro forma earnings data were not disclosed because the impact was immaterial.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Billionaire Pte. Ltd. (“Billionaire”) in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Group acquired 55% of equity interest of Billionaire for a total consideration of USD2,156,000.</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Billionaire engages primarily in the development and operation of overseas live streaming platforms in the overseas market. The purpose of this acquisition is mainly to acquire Billionaire’s technology and the assembled workforce to further enhance the Group’s overseas audio live streaming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acquisition, Billionaire was accounted for as a business combination and represents a consolidated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assets acquired and liabilities assumed at the date of acquisition: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liability assumed: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(Note 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acquired, net of non-controlling interests</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revenue data and pro forma earnings data were not disclosed because the impact was immaterial.</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Cash and cash equivalents represent cash on hand, cash held at bank, and time deposits placed with banks or other financial institutions, which have original maturities of three months or less. Cash and cash equivalents balance as of December 31, 2024 and 2025 primarily consist of the following currencies: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218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gridSpan w:val="2"/>
          </w:tcPr>
          <w:p>
            <w:pPr>
              <w:jc w:val="right"/>
              <w:ind w:right="9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80" w:type="dxa"/>
            <w:vAlign w:val="bottom"/>
            <w:gridSpan w:val="2"/>
          </w:tcPr>
          <w:p>
            <w:pPr>
              <w:jc w:val="right"/>
              <w:ind w:right="10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Hong Kong Dollar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Not applicable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177,329</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157,020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included in the cash and cash equivalents are time deposits with original maturities of three months or less of US$70,860,000 and US$42,600,000, respectively.</w:t>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82,638</w:t>
            </w:r>
          </w:p>
        </w:tc>
      </w:tr>
      <w:tr>
        <w:trPr>
          <w:trHeight w:val="216"/>
        </w:trPr>
        <w:tc>
          <w:tcPr>
            <w:tcW w:w="6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Investments in financial instruments</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65,517</w:t>
            </w:r>
          </w:p>
        </w:tc>
      </w:tr>
      <w:tr>
        <w:trPr>
          <w:trHeight w:val="209"/>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110,209</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148,155</w:t>
            </w: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33,920</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current expected credit losses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68,413</w:t>
            </w:r>
          </w:p>
        </w:tc>
      </w:tr>
      <w:tr>
        <w:trPr>
          <w:trHeight w:val="426"/>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movement in the allowance for current expected credit losses: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261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7"/>
              </w:rPr>
              <w:t>(189)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7"/>
              </w:rPr>
              <w:t>(408)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accounts receivable due from the top 10 customers accounted for about 68% and 64% of the balance of accounts receivable as of December 31, 2024 and 2025, respectively. The following table summarizes customers with balances of accounts receivable which was greater than 10% of the Group’s total accounts receivable: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340" w:type="dxa"/>
            <w:vAlign w:val="bottom"/>
          </w:tcPr>
          <w:p>
            <w:pPr>
              <w:ind w:left="422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  ​​​</w:t>
            </w: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88"/>
        </w:trPr>
        <w:tc>
          <w:tcPr>
            <w:tcW w:w="248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181" w:lineRule="exact"/>
        <w:rPr>
          <w:sz w:val="20"/>
          <w:szCs w:val="20"/>
          <w:color w:val="auto"/>
        </w:rPr>
      </w:pPr>
    </w:p>
    <w:p>
      <w:pPr>
        <w:ind w:left="600" w:hanging="592"/>
        <w:spacing w:after="0"/>
        <w:tabs>
          <w:tab w:leader="none" w:pos="60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devices</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r>
    </w:tbl>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Note:</w:t>
        <w:tab/>
        <w:t>The inventories written down were US$25,000 and US$470,000 for the years ended December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assets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2024   ​​​</w:t>
            </w:r>
          </w:p>
        </w:tc>
        <w:tc>
          <w:tcPr>
            <w:tcW w:w="13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related to an asset disposal in 2019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to employees (Note)</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and other deposits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receivables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current expected credit losses and impairment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r>
      <w:tr>
        <w:trPr>
          <w:trHeight w:val="210"/>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12,850</w:t>
            </w:r>
          </w:p>
        </w:tc>
      </w:tr>
      <w:tr>
        <w:trPr>
          <w:trHeight w:val="20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employees, non-current portion (Note)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for acquisition of long-term investments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 non-current portion</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5,334</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2,326</w:t>
            </w:r>
          </w:p>
        </w:tc>
      </w:tr>
      <w:tr>
        <w:trPr>
          <w:trHeight w:val="426"/>
        </w:trPr>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movement in the allowance for current expected credit loss and impairment: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6,186</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Write-off</w:t>
            </w:r>
          </w:p>
        </w:tc>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180" w:type="dxa"/>
            <w:vAlign w:val="bottom"/>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6,186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6,223</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5,516</w:t>
            </w:r>
          </w:p>
        </w:tc>
      </w:tr>
    </w:tbl>
    <w:p>
      <w:pPr>
        <w:spacing w:after="0" w:line="198" w:lineRule="exact"/>
        <w:rPr>
          <w:sz w:val="20"/>
          <w:szCs w:val="20"/>
          <w:color w:val="auto"/>
        </w:rPr>
      </w:pPr>
    </w:p>
    <w:p>
      <w:pPr>
        <w:jc w:val="both"/>
        <w:ind w:left="66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The Group entered into loan contracts with certain employees, under which the Group provided interest-free loans or low-interest loans to these employees. The loan amounts vary amongst different employees from repayable on demand to repayable in equal installments on a monthly basis over a term of 5 to 10 years. The balances classified as current represented loan amounts that are repayable on demand or repayable within the next twelve months from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09"/>
        </w:trPr>
        <w:tc>
          <w:tcPr>
            <w:tcW w:w="67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 (Note a)</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1,050,633</w:t>
            </w: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values (Note b)</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30,599</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1,070,596</w:t>
            </w:r>
          </w:p>
        </w:tc>
      </w:tr>
      <w:tr>
        <w:trPr>
          <w:trHeight w:val="88"/>
        </w:trPr>
        <w:tc>
          <w:tcPr>
            <w:tcW w:w="5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right="20" w:hanging="652"/>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Group’s equity investment in Arashi Vision Inc. (“Arashi Vision”), a company incorporated in the PRC.</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public offering (“IPO”) of Arashi Vision, the investment did not have a readily determinable fair value and was accounted for under the measurement alternative in accordance with ASC 321, Investments — Equity Securities. As of December 31, 2024, the carrying amount of this investment was approximately US$20,029,000.</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2025, Arashi Vision completed its IPO on the Shanghai Stock Exchange STAR Market (the “Listing”). Following the Listing, the investment is measured at fair value on a recurring basis, with changes in fair value recognized in “other income, net” in the consolidated statements of comprehensive income/(loss). The fair value of the investment is determined based on the closing quoted market price of Arashi Vision’s shares on the Shanghai Stock Exchange.</w:t>
      </w:r>
    </w:p>
    <w:p>
      <w:pPr>
        <w:spacing w:after="0" w:line="17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Group held approximately 7.8% equity interest in Arashi Vision. As a pre-IPO shareholder of Arashi Vision, the Group is subject to a statutory lock-up obligation under the applicable PRC laws and regulations, pursuant to which it may not transfer its shares in Arashi Vision within one year from the date of the Listing. This lock-up obligation is attributable to the Group’s status as a pre-IPO shareholder and is not a restriction on the transferability inherent in the shares. Accordingly, this entity-specific lock-up obligation was not considered in the determination of the fair value of the investment as of December 31, 2025.</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2023, 2024 and 2025, the Group recognized impairment losses of nil, US$1,407,000 and US$996,000, respectively, due to the deterioration of the investees’ operation performance, financial and liquidity position with no obvious upturn or potential financing solutions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09"/>
        </w:trPr>
        <w:tc>
          <w:tcPr>
            <w:tcW w:w="6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47,419</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Servers and network equipment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16,913</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decoration and leasehold improvements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9,513</w:t>
            </w: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original costs</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76,128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79,338</w:t>
            </w:r>
          </w:p>
        </w:tc>
      </w:tr>
      <w:tr>
        <w:trPr>
          <w:trHeight w:val="20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54,784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loss recognized on property and equipment for the years ended December 31, 2023, 2024 and 2025 was US$1,146,000, nil and nil,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recognized for the years ended December 31, 2023, 2024 and 2025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tcBorders>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10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20" w:hanging="612"/>
        <w:spacing w:after="0"/>
        <w:tabs>
          <w:tab w:leader="none" w:pos="62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assets (excluding land use rights) and lease liabilities</w:t>
      </w:r>
    </w:p>
    <w:p>
      <w:pPr>
        <w:spacing w:after="0" w:line="229"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 a lessee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operating lease assets, represented the leased offices of the Group, are amortized over the lease terms, which are greater than 1 year but less than 3 years. Operating leases are as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Office leases</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 as of January 1, 2024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currency exchange differences</w:t>
            </w: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 as of December 31, 2024</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differences</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amount as of December 31, 2025</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amortization expenses for long-term operating leases were US$551,000, US$434,000 and US$1,046,000 for the years ended December 31, 2023, 2024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20" w:hanging="612"/>
        <w:spacing w:after="0"/>
        <w:tabs>
          <w:tab w:leader="none" w:pos="6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assets (excluding land use rights) and lease liabilities (Continued)</w:t>
      </w:r>
    </w:p>
    <w:p>
      <w:pPr>
        <w:spacing w:after="0" w:line="229"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 a lessee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charge of US$1,645,000, US$1,504,000 and US$780,000 was recognized in relation to short-term leases for the years ended December 31, 2023,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future minimum payment under non-cancellable short-term operating leases was US$151,000.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related to operating leases was 5.1%, 3.7% and 3.0% as of December 31, 2023, 2024 and 2025, respectively. The weighted average remaining lease term were 2.0 years, 1.5 years and 2.0 years as of December 31, 2023, 2024 and 2025,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cash payments in respect of operating lease were US$2,386,000, US$1,407,000 and US$2,360,000 for the years ended December 31, 2023,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undiscounted cash payments for the next five years as of December 31, 2025 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Borders>
              <w:bottom w:val="single" w:sz="8" w:color="CCEEFF"/>
            </w:tcBorders>
            <w:gridSpan w:val="2"/>
          </w:tcPr>
          <w:p>
            <w:pPr>
              <w:jc w:val="right"/>
              <w:ind w:right="1250"/>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undiscounted payments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Discounted lease liabilities</w:t>
            </w:r>
          </w:p>
        </w:tc>
        <w:tc>
          <w:tcPr>
            <w:tcW w:w="2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Group as a lessor</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operating lease arrangements as lessor expire at various dates through August 2040. The rental income was nil, US$2,511,000 and US$4,133,000 for the years ended December 31, 2023,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undiscounted lease payments to be received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27,983</w:t>
            </w: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payments</w:t>
            </w: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47,597</w:t>
            </w:r>
          </w:p>
        </w:tc>
      </w:tr>
      <w:tr>
        <w:trPr>
          <w:trHeight w:val="871"/>
        </w:trPr>
        <w:tc>
          <w:tcPr>
            <w:tcW w:w="3520" w:type="dxa"/>
            <w:vAlign w:val="bottom"/>
          </w:tcPr>
          <w:p>
            <w:pPr>
              <w:spacing w:after="0"/>
              <w:rPr>
                <w:sz w:val="24"/>
                <w:szCs w:val="24"/>
                <w:color w:val="auto"/>
              </w:rPr>
            </w:pPr>
          </w:p>
        </w:tc>
        <w:tc>
          <w:tcPr>
            <w:tcW w:w="53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F-34</w:t>
            </w:r>
          </w:p>
        </w:tc>
        <w:tc>
          <w:tcPr>
            <w:tcW w:w="1080" w:type="dxa"/>
            <w:vAlign w:val="bottom"/>
          </w:tcPr>
          <w:p>
            <w:pPr>
              <w:spacing w:after="0"/>
              <w:rPr>
                <w:sz w:val="24"/>
                <w:szCs w:val="24"/>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 name</w:t>
            </w:r>
          </w:p>
        </w:tc>
        <w:tc>
          <w:tcPr>
            <w:tcW w:w="2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 visual license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computer software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original costs</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18,089</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48,666</w:t>
            </w: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10"/>
        </w:trPr>
        <w:tc>
          <w:tcPr>
            <w:tcW w:w="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2025, the Company acquired intangible assets amounting to US$3,869,000 and US$29,672,000, respectively, in connection with a business combination, which was measured at fair value upon acquisition, details are included in Note 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impairment charge of US$2,515,000 was recorded for the technology acquired from the business combination of Billionaire (Note 3). This impairment was triggered by the failure to achieve expected user acquisition targets following the acquisition, which resulted in the asset’s carrying value exceeding its recoverable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recognized for the years ended December 31, 2023, 2024 and 2025 are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9"/>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781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3,519</w:t>
            </w:r>
          </w:p>
        </w:tc>
        <w:tc>
          <w:tcPr>
            <w:tcW w:w="0" w:type="dxa"/>
            <w:vAlign w:val="bottom"/>
          </w:tcPr>
          <w:p>
            <w:pPr>
              <w:spacing w:after="0"/>
              <w:rPr>
                <w:sz w:val="1"/>
                <w:szCs w:val="1"/>
                <w:color w:val="auto"/>
              </w:rPr>
            </w:pPr>
          </w:p>
        </w:tc>
      </w:tr>
      <w:tr>
        <w:trPr>
          <w:trHeight w:val="412"/>
        </w:trPr>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estimated aggregate amortization expense for each of the next five years as of December 31, 2025 is: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0" w:type="dxa"/>
            <w:vAlign w:val="bottom"/>
          </w:tcPr>
          <w:p>
            <w:pPr>
              <w:spacing w:after="0"/>
              <w:rPr>
                <w:sz w:val="1"/>
                <w:szCs w:val="1"/>
                <w:color w:val="auto"/>
              </w:rPr>
            </w:pPr>
          </w:p>
        </w:tc>
      </w:tr>
      <w:tr>
        <w:trPr>
          <w:trHeight w:val="797"/>
        </w:trPr>
        <w:tc>
          <w:tcPr>
            <w:tcW w:w="3720" w:type="dxa"/>
            <w:vAlign w:val="bottom"/>
          </w:tcPr>
          <w:p>
            <w:pPr>
              <w:spacing w:after="0"/>
              <w:rPr>
                <w:sz w:val="24"/>
                <w:szCs w:val="24"/>
                <w:color w:val="auto"/>
              </w:rPr>
            </w:pPr>
          </w:p>
        </w:tc>
        <w:tc>
          <w:tcPr>
            <w:tcW w:w="31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F-35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periods of intangible assets as of December 31, 2024 and 2025 are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year)</w:t>
            </w:r>
          </w:p>
        </w:tc>
        <w:tc>
          <w:tcPr>
            <w:tcW w:w="18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1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69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30"/>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Brand name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29"/>
        </w:trPr>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9"/>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0"/>
        </w:trPr>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Audio-visual license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29"/>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Acquired computer software</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8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3"/>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weighted average amortization periods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11</w:t>
            </w:r>
          </w:p>
        </w:tc>
        <w:tc>
          <w:tcPr>
            <w:tcW w:w="0" w:type="dxa"/>
            <w:vAlign w:val="bottom"/>
          </w:tcPr>
          <w:p>
            <w:pPr>
              <w:spacing w:after="0"/>
              <w:rPr>
                <w:sz w:val="1"/>
                <w:szCs w:val="1"/>
                <w:color w:val="auto"/>
              </w:rPr>
            </w:pPr>
          </w:p>
        </w:tc>
      </w:tr>
      <w:tr>
        <w:trPr>
          <w:trHeight w:val="372"/>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66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 arising from the acquisition (Note 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w:t>
            </w:r>
          </w:p>
        </w:tc>
        <w:tc>
          <w:tcPr>
            <w:tcW w:w="0" w:type="dxa"/>
            <w:vAlign w:val="bottom"/>
          </w:tcPr>
          <w:p>
            <w:pPr>
              <w:spacing w:after="0"/>
              <w:rPr>
                <w:sz w:val="1"/>
                <w:szCs w:val="1"/>
                <w:color w:val="auto"/>
              </w:rPr>
            </w:pPr>
          </w:p>
        </w:tc>
      </w:tr>
      <w:tr>
        <w:trPr>
          <w:trHeight w:val="216"/>
        </w:trPr>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(Notes a and b)</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39,164</w:t>
            </w:r>
          </w:p>
        </w:tc>
        <w:tc>
          <w:tcPr>
            <w:tcW w:w="0" w:type="dxa"/>
            <w:vAlign w:val="bottom"/>
          </w:tcPr>
          <w:p>
            <w:pPr>
              <w:spacing w:after="0"/>
              <w:rPr>
                <w:sz w:val="1"/>
                <w:szCs w:val="1"/>
                <w:color w:val="auto"/>
              </w:rPr>
            </w:pPr>
          </w:p>
        </w:tc>
      </w:tr>
      <w:tr>
        <w:trPr>
          <w:trHeight w:val="88"/>
        </w:trPr>
        <w:tc>
          <w:tcPr>
            <w:tcW w:w="6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jc w:val="both"/>
        <w:ind w:left="660" w:hanging="652"/>
        <w:spacing w:after="0" w:line="261"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impairment of US$20,748,000 was recognized for the year ended December 31, 2024, primarily because the financial performance of the Company’s cloud computing business declined significantly in late 2024, which was assessed to be a sustained trend that has been reflected in the estimated future results from this business in the annual impairment test performed as of December 31, 2024.</w:t>
      </w:r>
    </w:p>
    <w:p>
      <w:pPr>
        <w:spacing w:after="0" w:line="9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goodwill balance was entirely associated with the acquisition of Hupu (Note 3). The Group determined that Hupu constitutes a single reporting unit for purposes of goodwill impairment testing.</w:t>
      </w:r>
    </w:p>
    <w:p>
      <w:pPr>
        <w:spacing w:after="0" w:line="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performed a quantitative goodwill impairment assessment for the Hupu reporting unit as of December 31,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(Continued)</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fair value of the Hupu reporting unit was estimated using an income approach, specifically a discounted cash flow (“DCF”) model. The DCF model is based on management’s cash flow projections over a five-year forecast period, with cash flows beyond the forecast period extrapolated using a terminal growth rate. The significant assumptions used in the DCF model include revenue forecast, operating margins, the discount rate, and the terminal growth rate. Revenue projections were developed based on the historical operating performance of Hupu, expected trends in the online advertising market, and management’s expectations regarding user engagement initiatives and business synergies with the Group. Operating margin projections were based on Hupu’s historical cost structure and anticipated operating efficiencies over the forecast period. A weighted average cost of capital (“WACC”) of 19.0% was used as the discount rate, which was estimated using market participant data including an analysis of comparable companies in the technology, media, and telecommunications sector, and reflects the risk profile of the Hupu reporting unit’s expected cash flows. A terminal growth rate of 2.0% was applied, determined with reference to the long-term expected inflation rate in the People’s Republic of China.</w:t>
      </w:r>
    </w:p>
    <w:p>
      <w:pPr>
        <w:spacing w:after="0" w:line="15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Based on the quantitative assessment, the estimated fair value of the Hupu reporting unit exceeded its carrying amount by approximately 7.5% as of December 31, 2025. As the Company’s market capitalization was below its consolidated net book value as of December 31, 2025, management also performed a reconciliation of the aggregate estimated fair values of the Company’s reporting units to the Company’s market capitalization. Based on the results of the impairment test and related reconciliation, the Group concluded that the estimated fair value of the Hupu reporting unit exceeded its carrying amount and no goodwill impairment was recognized for the year ended December 31, 2025.</w:t>
      </w:r>
    </w:p>
    <w:p>
      <w:pPr>
        <w:spacing w:after="0" w:line="16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Given that the estimated fair value of the Hupu reporting unit is not substantially in excess of its carrying amount, the Group performed a sensitivity analysis on the key assumptions used in the DCF model. An increase in the discount rate of 1.5%, with all other assumptions held constant, would result in the estimated fair value being approximately equal to the carrying amount of the reporting unit. Similarly, a reduction in projected revenue growth rates of 2.0% across the forecast period, with all other assumptions held constant, would also result in the estimated fair value approximating the carrying amount. Because the acquisition of Hupu was completed only seven months prior to the impairment testing date, the cash flow projections are based on limited operating history under the Group’s ownership and are subject to inherent uncertainty.</w:t>
      </w:r>
    </w:p>
    <w:p>
      <w:pPr>
        <w:spacing w:after="0" w:line="14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estimation of fair value requires significant management judgment. Changes in circumstances or in management’s estimates and assumptions, including but not limited to revenue or operating margin underperformance relative to projected results, or unfavorable changes in market-based discount rates, could cause the estimated fair value of the Hupu reporting unit to fall below its carrying amount, and a material goodwill impairment charge may need to be recognized in future periods.</w:t>
      </w:r>
    </w:p>
    <w:p>
      <w:pPr>
        <w:spacing w:after="0" w:line="139"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accumulated goodwill impairment was US$20,748,000 (2024: US$20,748,000).</w:t>
      </w:r>
    </w:p>
    <w:p>
      <w:pPr>
        <w:spacing w:after="0" w:line="235" w:lineRule="exact"/>
        <w:rPr>
          <w:sz w:val="20"/>
          <w:szCs w:val="20"/>
          <w:color w:val="auto"/>
        </w:rPr>
      </w:pPr>
    </w:p>
    <w:p>
      <w:pPr>
        <w:ind w:left="680" w:hanging="672"/>
        <w:spacing w:after="0"/>
        <w:tabs>
          <w:tab w:leader="none" w:pos="68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Membership subscription</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38,479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40,276</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39,936</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43,107</w:t>
            </w: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subscription</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w:t>
            </w:r>
          </w:p>
        </w:tc>
      </w:tr>
    </w:tbl>
    <w:p>
      <w:pPr>
        <w:spacing w:after="0" w:line="198" w:lineRule="exact"/>
        <w:rPr>
          <w:sz w:val="20"/>
          <w:szCs w:val="20"/>
          <w:color w:val="auto"/>
        </w:rPr>
      </w:pPr>
    </w:p>
    <w:p>
      <w:pPr>
        <w:jc w:val="both"/>
        <w:ind w:left="66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Contract liabilities were related to unsatisfied performance obligations at the end of the year. Due to the generally short-term duration of the contracts, the majority of the performance obligations are satisfied in the following period. The amount of revenue recognized that was included in contract liabilities balance at the beginning of the year was US$38,016,000, US$36,091,000 and US$39,580,000 for the years ended December 31, 2023 and 2024 and 2025, respectively.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 and other payables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Payroll and welfare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levies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0" w:type="dxa"/>
            <w:vAlign w:val="bottom"/>
          </w:tcPr>
          <w:p>
            <w:pPr>
              <w:spacing w:after="0"/>
              <w:rPr>
                <w:sz w:val="1"/>
                <w:szCs w:val="1"/>
                <w:color w:val="auto"/>
              </w:rPr>
            </w:pPr>
          </w:p>
        </w:tc>
      </w:tr>
      <w:tr>
        <w:trPr>
          <w:trHeight w:val="22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consideration payable for acquisition of Hupu</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advertisement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0" w:type="dxa"/>
            <w:vAlign w:val="bottom"/>
          </w:tcPr>
          <w:p>
            <w:pPr>
              <w:spacing w:after="0"/>
              <w:rPr>
                <w:sz w:val="1"/>
                <w:szCs w:val="1"/>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Payables related to share repurchase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office building</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litigation related expenses (Note 26)</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2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Payables to joint membership partners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acquisition of long-term investments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16"/>
        </w:trPr>
        <w:tc>
          <w:tcPr>
            <w:tcW w:w="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90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52,093</w:t>
            </w:r>
          </w:p>
        </w:tc>
        <w:tc>
          <w:tcPr>
            <w:tcW w:w="2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81,334</w:t>
            </w:r>
          </w:p>
        </w:tc>
        <w:tc>
          <w:tcPr>
            <w:tcW w:w="0" w:type="dxa"/>
            <w:vAlign w:val="bottom"/>
          </w:tcPr>
          <w:p>
            <w:pPr>
              <w:spacing w:after="0"/>
              <w:rPr>
                <w:sz w:val="1"/>
                <w:szCs w:val="1"/>
                <w:color w:val="auto"/>
              </w:rPr>
            </w:pPr>
          </w:p>
        </w:tc>
      </w:tr>
      <w:tr>
        <w:trPr>
          <w:trHeight w:val="20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consideration payable for acquisition of Hupu</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2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3,530</w:t>
            </w: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bank borrowings (Note a)</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33,652</w:t>
            </w:r>
          </w:p>
        </w:tc>
        <w:tc>
          <w:tcPr>
            <w:tcW w:w="0" w:type="dxa"/>
            <w:vAlign w:val="bottom"/>
          </w:tcPr>
          <w:p>
            <w:pPr>
              <w:spacing w:after="0"/>
              <w:rPr>
                <w:sz w:val="1"/>
                <w:szCs w:val="1"/>
                <w:color w:val="auto"/>
              </w:rPr>
            </w:pPr>
          </w:p>
        </w:tc>
      </w:tr>
      <w:tr>
        <w:trPr>
          <w:trHeight w:val="216"/>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borrowings, current portion (Note b)</w:t>
            </w:r>
          </w:p>
        </w:tc>
        <w:tc>
          <w:tcPr>
            <w:tcW w:w="2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09"/>
        </w:trPr>
        <w:tc>
          <w:tcPr>
            <w:tcW w:w="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37,209</w:t>
            </w:r>
          </w:p>
        </w:tc>
        <w:tc>
          <w:tcPr>
            <w:tcW w:w="0" w:type="dxa"/>
            <w:vAlign w:val="bottom"/>
          </w:tcPr>
          <w:p>
            <w:pPr>
              <w:spacing w:after="0"/>
              <w:rPr>
                <w:sz w:val="1"/>
                <w:szCs w:val="1"/>
                <w:color w:val="auto"/>
              </w:rPr>
            </w:pPr>
          </w:p>
        </w:tc>
      </w:tr>
      <w:tr>
        <w:trPr>
          <w:trHeight w:val="210"/>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bank borrowings (Note b)</w:t>
            </w: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27,127</w:t>
            </w:r>
          </w:p>
        </w:tc>
        <w:tc>
          <w:tcPr>
            <w:tcW w:w="2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38,413</w:t>
            </w:r>
          </w:p>
        </w:tc>
        <w:tc>
          <w:tcPr>
            <w:tcW w:w="0" w:type="dxa"/>
            <w:vAlign w:val="bottom"/>
          </w:tcPr>
          <w:p>
            <w:pPr>
              <w:spacing w:after="0"/>
              <w:rPr>
                <w:sz w:val="1"/>
                <w:szCs w:val="1"/>
                <w:color w:val="auto"/>
              </w:rPr>
            </w:pPr>
          </w:p>
        </w:tc>
      </w:tr>
      <w:tr>
        <w:trPr>
          <w:trHeight w:val="88"/>
        </w:trPr>
        <w:tc>
          <w:tcPr>
            <w:tcW w:w="58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hanging="652"/>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Group entered into a short-term unsecured working capital loan facility with a bank in the PRC in the amount of RMB100,000,000. As at December 31, 2025, US$12,311,000 (RMB86,534,600) was drawn from the facility.</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Group entered into a short-term working capital loan facility with a bank in the PRC in the amount of RMB100,000,000, which was guaranteed by a subsidiary of the Company. As of December 31, 2025, US$14,227,000 (RMB100,000,000) was drawn from the facility.</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Group obtained a one-year term credit line up to RMB50,000,000 from a bank in the PRC. As of December 31, 2024 and 2025, US$1,391,000 (RMB10,000,000) and US$7,114,000 (RMB50,000,000) was drawn from the facility, respectively.</w:t>
      </w:r>
    </w:p>
    <w:p>
      <w:pPr>
        <w:spacing w:after="0" w:line="175" w:lineRule="exact"/>
        <w:rPr>
          <w:rFonts w:ascii="Times New Roman" w:cs="Times New Roman" w:eastAsia="Times New Roman" w:hAnsi="Times New Roman"/>
          <w:sz w:val="18"/>
          <w:szCs w:val="18"/>
          <w:color w:val="auto"/>
        </w:rPr>
      </w:pPr>
    </w:p>
    <w:p>
      <w:pPr>
        <w:jc w:val="both"/>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the Group</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had short-term borrowings from banks with interest rates of 1.7% and 1.6% to 2.2% per annum, respectively. As of December 31, 2024 and 2025, the weighted average interest rate of these borrowings was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and 2.0% per annum,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borrowings (Continued)</w:t>
      </w:r>
    </w:p>
    <w:p>
      <w:pPr>
        <w:spacing w:after="0" w:line="229" w:lineRule="exact"/>
        <w:rPr>
          <w:sz w:val="20"/>
          <w:szCs w:val="20"/>
          <w:color w:val="auto"/>
        </w:rPr>
      </w:pPr>
    </w:p>
    <w:p>
      <w:pPr>
        <w:jc w:val="both"/>
        <w:ind w:left="660" w:right="20" w:hanging="652"/>
        <w:spacing w:after="0" w:line="261"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Group obtained a long-term working capital loan facility from a bank in the PRC in the amount of RMB300,000,000 priced at the 1-year China LPR less 40 basis points on the drawdown date, which was pledged by the Group’s land use rights and building of Xunlei Tower. This loan facility was supplemented in May 2025 to the amount of RMB365,000,000.</w:t>
      </w:r>
    </w:p>
    <w:p>
      <w:pPr>
        <w:spacing w:after="0" w:line="179" w:lineRule="exact"/>
        <w:rPr>
          <w:rFonts w:ascii="Times New Roman" w:cs="Times New Roman" w:eastAsia="Times New Roman" w:hAnsi="Times New Roman"/>
          <w:sz w:val="18"/>
          <w:szCs w:val="18"/>
          <w:color w:val="auto"/>
        </w:rPr>
      </w:pPr>
    </w:p>
    <w:p>
      <w:pPr>
        <w:jc w:val="both"/>
        <w:ind w:left="66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RMB100,000,000 were drawn down in May 2024, December 2024 and May 2025, respectively, under the loan facility with three-year term, 5% of the principal shall be repaid semi-annually commencing from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following the loan disbursement, with the remaining outstanding principal repaid in full upon expiration of the 3-year term. The undrawn amount was RMB100,000,000 and RMB65,000,000 as of December 31, 2024 and 2025, respectively.</w:t>
      </w:r>
    </w:p>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outstanding long-term bank borrowings were US$27,823,000 (RMB200,000,000) and US$41,970,000 (RMB295,000,000) as of December 31, 2024 and 2025,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scheduled maturities of bank long-term borrowings, including the portion due within one year which were recorded in “long-term bank borrowings, current portion”, as of December 31, 2025 are as follows:</w:t>
      </w:r>
    </w:p>
    <w:p>
      <w:pPr>
        <w:spacing w:after="0" w:line="169" w:lineRule="exact"/>
        <w:rPr>
          <w:sz w:val="20"/>
          <w:szCs w:val="20"/>
          <w:color w:val="auto"/>
        </w:rPr>
      </w:pPr>
    </w:p>
    <w:p>
      <w:pPr>
        <w:spacing w:after="0"/>
        <w:tabs>
          <w:tab w:leader="none" w:pos="8280" w:val="left"/>
          <w:tab w:leader="none" w:pos="858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w:t>
        <w:tab/>
        <w:t>Principal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1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to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to 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43" w:lineRule="exact"/>
        <w:rPr>
          <w:sz w:val="20"/>
          <w:szCs w:val="20"/>
          <w:color w:val="auto"/>
        </w:rPr>
      </w:pPr>
    </w:p>
    <w:p>
      <w:pPr>
        <w:ind w:left="680" w:hanging="672"/>
        <w:spacing w:after="0"/>
        <w:tabs>
          <w:tab w:leader="none" w:pos="680" w:val="left"/>
        </w:tabs>
        <w:numPr>
          <w:ilvl w:val="0"/>
          <w:numId w:val="1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3,557</w:t>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4,197</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34,216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5715</wp:posOffset>
            </wp:positionV>
            <wp:extent cx="9512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41,970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9512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638" w:lineRule="exact"/>
        <w:rPr>
          <w:sz w:val="20"/>
          <w:szCs w:val="20"/>
          <w:color w:val="auto"/>
        </w:rPr>
      </w:pPr>
    </w:p>
    <w:p>
      <w:pPr>
        <w:sectPr>
          <w:pgSz w:w="11900" w:h="16838" w:orient="portrait"/>
          <w:cols w:equalWidth="0" w:num="2">
            <w:col w:w="8640" w:space="720"/>
            <w:col w:w="560"/>
          </w:cols>
          <w:pgMar w:left="980" w:top="513" w:right="999" w:bottom="1440" w:gutter="0" w:footer="0" w:header="0"/>
          <w:type w:val="continuous"/>
        </w:sectPr>
      </w:pP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Memorandum and Articles of Association authorizes the Company to issue 1,000,000,000 shares of US$0.00025 par value per common share as of December 31, 2025. Each common share is entitled to one vote. The holders of common shares are also entitled to receive dividends whenever funds are legally available and when declared by the Board of Directors, which is subject to the approval by the holders of the common shares representing a majority of the aggregate voting power of all outstanding shares. As of December 31, 2024 and 2025, there were 307,351,196 and 314,277,001 common shares outstanding, respectively.</w:t>
      </w:r>
    </w:p>
    <w:p>
      <w:pPr>
        <w:spacing w:after="0" w:line="179" w:lineRule="exact"/>
        <w:rPr>
          <w:sz w:val="20"/>
          <w:szCs w:val="20"/>
          <w:color w:val="auto"/>
        </w:rPr>
      </w:pPr>
    </w:p>
    <w:p>
      <w:pPr>
        <w:ind w:left="680" w:hanging="672"/>
        <w:spacing w:after="0"/>
        <w:tabs>
          <w:tab w:leader="none" w:pos="68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2023, the Board of Directors of the Company authorized a share repurchase program (the “2023 Share Buyback Program”), whereby the Company may repurchase up to US$20 million of common shares or ADSs over the next twelve months through various legally permissible means, including open market purchases at prevailing prices and algorithmic trading, privately negotiated transactions, block trades, or other methods depending on market conditions and in compliance with applicable regulations. During the year ended December 31, 2024, 1,340,774 ADSs (2023: 2,037,721) were purchased at an aggregate consideration of approximately US$2,137,000 (2023: US$3,585,000) under the 2023 Share Buyback Program.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2024, the Board of Directors of the Company authorized another share repurchase program (the “2024 Share Buyback Program”), whereby the Company may repurchase up to US$20 million of common shares or ADSs over the next twelve months through various legally permissible means, including open market purchases at prevailing prices and algorithmic trading, privately negotiated transactions, block trades, or other methods depending on market conditions and in compliance with applicable regulations. During the year ended December 31, 2024, 2,831,005 ADSs were purchased at an aggregate consideration of approximately US$5,556,000 under the 2024 Share Buyback Program. During the year ended December 31, 2025, 434,939 ADSs (2024: 2,831,005) were purchased at an aggregate consideration of approximately US$951,000 (2024: US$5,556,000) under the 2024 Share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share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2020, the Group terminated its share incentive plan adopted in December 2010, November 2013, April 2014 (the “Terminated Plans”) and adopted a 2020 share incentive plan, which is referred to as the 2020 Share Incentive Plan (the “2020 Plan”). The awards that are granted and outstanding under the Terminated Plans remain effective under the 2020 Plan, subject to any amendment and modification to the original award agreements that the Company shall determine.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the number of vested shares relating to the Terminated Plans was 320,000, nil and nil, and no share was forfeited relating to the Terminated Plans. As of December 31, 2025, the number of unvested shares relating to the Terminated Plans was nil.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2020 Plan, the maximum aggregate number of shares of the Company that may be granted is 31,000,000, which consists of (i) 21,039,742 common shares reserved for issuance, which were previously reserved under the Terminated Plans but not granted under the Terminated Plans, (ii) 9,667,230 common shares repurchased pursuant to the share repurchase programs authorized by the Company, and (iii) 293,028 common shares reserved for issuance under the 2020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and April 2024, the Board of Directors of the Company amended and restated the 2020 Plan, the maximum aggregate number of shares of the Company available for grant of awards was increased to 46,561,200 and 61,525,345, respectively. The number of shares available for such grants as of December 31, 2025 is 9,435,550 (2024: 16,581,260).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restricted shares units (“RSUs”) granted to employees and officers (excluding those forfeited) under the 2020 Plan are only subject to service conditions, and follow various vesting schedules including: (i) one-half of the RSUs shall be vested on each anniversary of the vesting commencement date for two years thereafter; (ii) one-third of the RSUs shall be vested on each anniversary of the vesting commencement date for three years thereafter; (iii) two-third of the RSUs shall be vested on the second anniversary and one-third of the RSUs shall be vested on the third anniversary of the vesting commencement date; (iv) one-fifth of the RSUs shall be vested on each anniversary of the vesting commencement date for five years thereafter; (v) one-sixth of the RSUs shall be vested on the grant date, and the remaining RSUs shall be vested equally on each anniversary of the vesting commencement date for three years thereafter; (vi) the RSUs shall be vested immediately. Certain of the awarded shares were vested in an accelerated manner after grant.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share incentive plan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activities under the 2020 Plan for the years ended December 31, 2023, 2024 and 2025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62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(US$)</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16,858,050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12,485,750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(11,195,165)</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(491,670)</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17,656,965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Expected to vest as of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13,242,724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17,656,965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(4,684,535)</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(1,226,170)</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15,510,760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Expected to vest as of December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11,633,070</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15,510,760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8,910,710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(9,100,500)</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(1,765,000)</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13,555,970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as of December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10,166,978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Company’s historical and expected forfeitures for restricted share units granted, the directors of the Company estimated that its future forfeiture rate would be 25% for employees and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Onething 2024 share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the Group adopted a share incentive plan for Shenzhen Onething (the “Shenzhen Onething 2024 Plan”), in order to provide incentives for employees contributing to the Group’s cloud computing business. In December 2024, 30% equity interest of Shenzhen Onething was transferred to certain plan participants or share incentive awards holding platforms established and controlled by the Group, at a nominal price, to facilitate the grant of RSUs under the Shenzhen Onething 2024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awards granted under the Shenzhen Onething 2024 Plan are subject to both service conditions and performance conditions. Performance conditions include the occurrence of change of control of Shenzhen Onething or the successful completion of an initial public offering of Shenzhen Onething (“Liquidity Event”).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2025, no share-based compensation expense was recognized in connection with the Shenzhen Onething 2024 Plan, as the satisfaction of the performance conditions was not considered probable as of the reporting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2025, although the aforementioned 30% equity interest had been transferred to plan participants or share incentive award holding platforms, the shares remained unvested and subject to forfeiture due to the unsatisfied vesting conditions. As a result, the Group continued to fully consolidate Shenzhen Onething, and no non-controlling interest was recognized in respect of the 30%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Onething 2024 share incentive plan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compensation costs recognized for the years ended December 31, 2023, 2024 and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09"/>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3,840</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hanging="652"/>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the compensation costs recognized in relation to the shares awarded under the Terminated Plans amounted to US$352,000, nil and nil, respectively.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total unrecognised share-based compensation amounted to US$18,960,000 (2024: US$11,132,100).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Costs of revenues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6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142,827</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Revenue-sharing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handling charges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inventories sold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0" w:type="dxa"/>
            <w:vAlign w:val="bottom"/>
          </w:tcPr>
          <w:p>
            <w:pPr>
              <w:spacing w:after="0"/>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200,649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155,567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242,886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6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long-term investments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1,032,989</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income from short-term investments (note)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from reversal of long outstanding payables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from the disposal of long-term investments and subsidiaries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gains/(losses),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deduction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1,038,131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For the years ended December 31, 2023, 2024 and 2025, investment income from short-term investments comprised interest income of US$1,389,000, US$2,247,000 and US$1,564,000 from time deposits with original maturities of more than three months but within one year, and investment income of US$2,965,000, US$2,166,000 and US$2,569,000 from investments in financial instruments, respectively.</w:t>
      </w:r>
    </w:p>
    <w:p>
      <w:pPr>
        <w:spacing w:after="0" w:line="176" w:lineRule="exact"/>
        <w:rPr>
          <w:sz w:val="20"/>
          <w:szCs w:val="20"/>
          <w:color w:val="auto"/>
        </w:rPr>
      </w:pPr>
    </w:p>
    <w:p>
      <w:pPr>
        <w:ind w:left="680" w:hanging="672"/>
        <w:spacing w:after="0"/>
        <w:tabs>
          <w:tab w:leader="none" w:pos="68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680" w:hanging="672"/>
        <w:spacing w:after="0"/>
        <w:tabs>
          <w:tab w:leader="none" w:pos="6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gains. Additionally, upon payment of dividends by the Company to its shareholders, no Cayman Islands withholding tax will be imposed.</w:t>
      </w:r>
    </w:p>
    <w:p>
      <w:pPr>
        <w:spacing w:after="0" w:line="162" w:lineRule="exact"/>
        <w:rPr>
          <w:sz w:val="20"/>
          <w:szCs w:val="20"/>
          <w:color w:val="auto"/>
        </w:rPr>
      </w:pPr>
    </w:p>
    <w:p>
      <w:pPr>
        <w:ind w:left="680" w:hanging="672"/>
        <w:spacing w:after="0"/>
        <w:tabs>
          <w:tab w:leader="none" w:pos="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Virgin Islands (“BVI”)</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Subsidiaries in the BVI are exempted from income tax on its foreign-derived income in the BVI. There are no withholding taxes in the BVI.</w:t>
      </w:r>
    </w:p>
    <w:p>
      <w:pPr>
        <w:spacing w:after="0" w:line="162" w:lineRule="exact"/>
        <w:rPr>
          <w:sz w:val="20"/>
          <w:szCs w:val="20"/>
          <w:color w:val="auto"/>
        </w:rPr>
      </w:pPr>
    </w:p>
    <w:p>
      <w:pPr>
        <w:ind w:left="680" w:hanging="672"/>
        <w:spacing w:after="0"/>
        <w:tabs>
          <w:tab w:leader="none" w:pos="6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Subsidiaries in Hong Kong are subject to 16.5% income tax on their taxable income generated from operations in Hong Kong for the years ended December 31, 2023, 2024 and 2025, respectively.</w:t>
      </w:r>
    </w:p>
    <w:p>
      <w:pPr>
        <w:spacing w:after="0" w:line="162" w:lineRule="exact"/>
        <w:rPr>
          <w:sz w:val="20"/>
          <w:szCs w:val="20"/>
          <w:color w:val="auto"/>
        </w:rPr>
      </w:pPr>
    </w:p>
    <w:p>
      <w:pPr>
        <w:ind w:left="680" w:hanging="672"/>
        <w:spacing w:after="0"/>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incorporated in Singapore were subject to 17% of their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229"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EIT is calculated based on the taxable income determined under the PRC laws and accounting standards.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EIT Law, foreign invested enterprises and domestic enterprises are subject to a unified EIT rate of 25%. In accordance with the implementation rules of the EIT Law, a qualified “High and New Technology Enterprise” (“HNTE”) is eligible for a preferential tax rate of 15%.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qualification as an HNTE is subject to annual evaluation and a three-year review by the relevant authorities in China. Shenzhen Xunlei, Shenzhen Onething, Xunlei Computer, Shenzhen Xunlei Wangwenhua Co., Ltd. and Hupu Information were qualified as an HNTE, and enjoyed the preferential tax rate of 15% for the year ended December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remaining subsidiaries of the Group or VIEs’ subsidiaries in the PRC were qualified for small scale entities and have been granted certain tax concessions by tax authorities in the PRC for the year ended December 31,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a policy issued by the PRC State Tax Bureau, enterprises engaged in research and development activities are entitled to claim a super deduction of 175% of eligible research and development expenses incurred in a year as tax deductible expenses when calculating taxable income (“Super Deduction”), effective from January 1, 2018. Furthermore, beginning October 1, 2022, the super deduction rate was increased to 200%, allowing qualified enterprises to deduct 200% of eligible research and development expenses from taxable income for expenses incurred on or after that 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are subject to PRC withholding tax, or WHT, at 10% (a further reduced WHT rate may be available according to the applicable double tax treaty arrangement). The 10% WHT is generally applicable to any dividends to be distributed from Giganology Shenzhen and Xunlei Computer to the Company out of any profits of Giganology Shenzhen and Xunlei Computer derived after January 1, 2008. Up to December 31, 2025, both Giganology Shenzhen and Xunlei Computer did not declare any dividend to the parent company and have determined that they have no present plan to declare and pay any dividends. The Group currently plans to continue to reinvest its subsidiaries’ undistributed earnings, if any, in its operations in China indefinitely. Accordingly, no withholding income tax was accrued or required to be accrued for the years ended December 31, 2023, 2024 and 2025.</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the current EIT Law treats enterprises established outside of China with “effective management and control” located in the PRC as PRC resident enterprises for tax purposes. The term “effective management and control” is generally defined as exercising overall management and control over the business, personnel, accounting, properties etc. of an enterprise. The Company, if considered a PRC resident enterprise for tax purposes, would be subject to the PRC EIT at the rate of 25% on its worldwide income for the period after January 1, 2008. As of December 31, 2024 and 2025, the Company has not accrued for PRC tax on such basis. The Company will continue to monitor its tax status.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and deferred portions of income tax expenses/(benefits) included in the consolidated statements of operations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8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3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2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benefits</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expenses/(benefits)</w:t>
            </w:r>
          </w:p>
        </w:tc>
        <w:tc>
          <w:tcPr>
            <w:tcW w:w="2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0" w:type="dxa"/>
            <w:vAlign w:val="bottom"/>
          </w:tcPr>
          <w:p>
            <w:pPr>
              <w:spacing w:after="0"/>
              <w:rPr>
                <w:sz w:val="1"/>
                <w:szCs w:val="1"/>
                <w:color w:val="auto"/>
              </w:rPr>
            </w:pPr>
          </w:p>
        </w:tc>
      </w:tr>
      <w:tr>
        <w:trPr>
          <w:trHeight w:val="858"/>
        </w:trPr>
        <w:tc>
          <w:tcPr>
            <w:tcW w:w="3580" w:type="dxa"/>
            <w:vAlign w:val="bottom"/>
          </w:tcPr>
          <w:p>
            <w:pPr>
              <w:spacing w:after="0"/>
              <w:rPr>
                <w:sz w:val="24"/>
                <w:szCs w:val="24"/>
                <w:color w:val="auto"/>
              </w:rPr>
            </w:pPr>
          </w:p>
        </w:tc>
        <w:tc>
          <w:tcPr>
            <w:tcW w:w="32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F-44</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229"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 (Continued)</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After the prospective adoption of ASU 2023-09 for the year ended December 31, 2025, the reconciliation of the Group</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reported income tax benefits to the theoretical tax amount that would arise using the statutory tax rate of the Company against the Group</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income before income taxes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5"/>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9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at PRC statutory rate</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Hong Kong and the PRC</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(87,680)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from long-term investment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(170,050)</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Other tax jurisdictions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PRC preferential tax rates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(2,301)</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Super Deduction</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(7,814)</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benefits</w:t>
            </w: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total tax expenses/(benefits) computed by applying the respective statutory income tax rates to pre-tax income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0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tax expenses/(benefits) at statutory rate of 25% (based on statutory tax rate applicable to</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enterprises in the PRC)</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Effects of different tax rates in different jurisdictions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Super Deduction</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holidays and tax concessions on taxable income of subsidiaries incorporated in the PRC</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benefit from investment loss in a liquidating subsidiary of the VIE</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of deferred tax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expenses/(benefits)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w:t>
            </w:r>
          </w:p>
        </w:tc>
        <w:tc>
          <w:tcPr>
            <w:tcW w:w="0" w:type="dxa"/>
            <w:vAlign w:val="bottom"/>
          </w:tcPr>
          <w:p>
            <w:pPr>
              <w:spacing w:after="0"/>
              <w:rPr>
                <w:sz w:val="1"/>
                <w:szCs w:val="1"/>
                <w:color w:val="auto"/>
              </w:rPr>
            </w:pPr>
          </w:p>
        </w:tc>
      </w:tr>
      <w:tr>
        <w:trPr>
          <w:trHeight w:val="858"/>
        </w:trPr>
        <w:tc>
          <w:tcPr>
            <w:tcW w:w="73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F-45</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229"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 (Continued)</w:t>
      </w:r>
    </w:p>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and liabilities balances of December 31, 2024 and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57,516</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in a liquidating subsidiary of the VIE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long-term equity investments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others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 of valuation allowance</w:t>
            </w:r>
          </w:p>
        </w:tc>
        <w:tc>
          <w:tcPr>
            <w:tcW w:w="1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Set-off provisions</w:t>
            </w: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Set-off provisions</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Valuation allowance was provided for net operating loss carryforwards from certain subsidiaries, the VIEs and VIEs’ subsidiaries because it was more likely than not that such deferred tax assets will not be realized based on the Group’s estimate of future taxable income of those companies. Movement of valuation allowance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auto"/>
            </w:tcBorders>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3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Divestment of VIE’s subsidiaries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2025, the accumulated net operating loss of US$9,546,000 arising from the Group’s subsidiaries incorporated in Hong Kong can be carried forward indefinitely to offset future taxable income. The remaining accumulated net operating loss of US$263,669,000, mainly arose from the Company’s subsidiaries, the VIEs and VIEs’ subsidiaries established in the PRC, can be carried forward to offset future taxable income and will expire during the period from 2026 to 2035.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for the years ended December 31, 2023, 2024 and 2025 are calculated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expressed in thousands of US$, except</w:t>
            </w:r>
          </w:p>
        </w:tc>
        <w:tc>
          <w:tcPr>
            <w:tcW w:w="200" w:type="dxa"/>
            <w:vAlign w:val="bottom"/>
          </w:tcPr>
          <w:p>
            <w:pPr>
              <w:spacing w:after="0"/>
              <w:rPr>
                <w:sz w:val="15"/>
                <w:szCs w:val="15"/>
                <w:color w:val="auto"/>
              </w:rPr>
            </w:pPr>
          </w:p>
        </w:tc>
        <w:tc>
          <w:tcPr>
            <w:tcW w:w="2520" w:type="dxa"/>
            <w:vAlign w:val="bottom"/>
            <w:tcBorders>
              <w:bottom w:val="single" w:sz="8" w:color="auto"/>
            </w:tcBorders>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number of shares and per share data)</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1,047,610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(loss)/income attributable to the non-controlling interest</w:t>
            </w:r>
          </w:p>
        </w:tc>
        <w:tc>
          <w:tcPr>
            <w:tcW w:w="2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income attributable to Xunlei Limited’s common shareholders for basic/dilutive net income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per share calculation</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basic</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326,390,687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318,758,374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311,440,748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effect of restricted share units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458,815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5,017,965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326,849,502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319,146,281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316,458,713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net income per share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0.0436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0.0038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net income per share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80" w:hanging="672"/>
        <w:spacing w:after="0"/>
        <w:tabs>
          <w:tab w:leader="none" w:pos="68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related parties and their relationships with the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5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Relationship with the Group</w:t>
            </w:r>
          </w:p>
        </w:tc>
      </w:tr>
      <w:tr>
        <w:trPr>
          <w:trHeight w:val="210"/>
        </w:trPr>
        <w:tc>
          <w:tcPr>
            <w:tcW w:w="4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Xiaomi Inc.</w:t>
            </w:r>
          </w:p>
        </w:tc>
        <w:tc>
          <w:tcPr>
            <w:tcW w:w="2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a)</w:t>
            </w:r>
          </w:p>
        </w:tc>
      </w:tr>
      <w:tr>
        <w:trPr>
          <w:trHeight w:val="198"/>
        </w:trPr>
        <w:tc>
          <w:tcPr>
            <w:tcW w:w="4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Shenzhen Xiaomi Information Technology Co., Ltd. (“Shenzhen</w:t>
            </w:r>
          </w:p>
        </w:tc>
        <w:tc>
          <w:tcPr>
            <w:tcW w:w="22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234"/>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Xiaomi”)</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(Note a)</w:t>
            </w:r>
          </w:p>
        </w:tc>
      </w:tr>
      <w:tr>
        <w:trPr>
          <w:trHeight w:val="198"/>
        </w:trPr>
        <w:tc>
          <w:tcPr>
            <w:tcW w:w="4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Shenzhen Xiaomi Jingming Technology Co., Ltd.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Xiaomi</w:t>
            </w:r>
          </w:p>
        </w:tc>
        <w:tc>
          <w:tcPr>
            <w:tcW w:w="22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r>
      <w:tr>
        <w:trPr>
          <w:trHeight w:val="234"/>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Jingming</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Xiaomi Electronics Co., Ltd.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Beijing Xaiomi</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(Note a)</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Itui Technology Co., Ltd.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Beijing Itui</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b)</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Itui Online Network Technology Co., Ltd.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Itui Online</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(Note b)</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Tengtao Technology Co., Ltd. (“Shenzhen Tengtao”)</w:t>
            </w: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b)</w:t>
            </w:r>
          </w:p>
        </w:tc>
      </w:tr>
      <w:tr>
        <w:trPr>
          <w:trHeight w:val="198"/>
        </w:trPr>
        <w:tc>
          <w:tcPr>
            <w:tcW w:w="4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Shenzhen Changsheng Chang Technology Co., Ltd. (“Shenzhen</w:t>
            </w:r>
          </w:p>
        </w:tc>
        <w:tc>
          <w:tcPr>
            <w:tcW w:w="22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234"/>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Changsheng”)</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(Note b)</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Chizz (HK) Limited (“Chizz”)</w:t>
            </w: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b)</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Xiaobu Technology Co., Ltd. (“Beijing Xiaobu”)</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(Note b)</w:t>
            </w:r>
          </w:p>
        </w:tc>
      </w:tr>
      <w:tr>
        <w:trPr>
          <w:trHeight w:val="76"/>
        </w:trPr>
        <w:tc>
          <w:tcPr>
            <w:tcW w:w="248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40" w:type="dxa"/>
            <w:vAlign w:val="bottom"/>
          </w:tcPr>
          <w:p>
            <w:pPr>
              <w:spacing w:after="0"/>
              <w:rPr>
                <w:sz w:val="6"/>
                <w:szCs w:val="6"/>
                <w:color w:val="auto"/>
              </w:rPr>
            </w:pPr>
          </w:p>
        </w:tc>
      </w:tr>
      <w:tr>
        <w:trPr>
          <w:trHeight w:val="29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pacing w:after="0" w:line="198" w:lineRule="exact"/>
        <w:rPr>
          <w:sz w:val="20"/>
          <w:szCs w:val="20"/>
          <w:color w:val="auto"/>
        </w:rPr>
      </w:pPr>
    </w:p>
    <w:p>
      <w:pPr>
        <w:jc w:val="both"/>
        <w:ind w:left="660" w:right="40" w:hanging="652"/>
        <w:spacing w:after="0" w:line="258"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Best Ventures Limited (“Best Ventures”, formerly known as Xiaomi Ventures Limited) ceased to be the shareholder of the Company as Best Ventures together with certain shareholders of the Company exchanged their common shares of the Company for the shares of Itui International Inc. (“Itui”). In addition, Best Ventures is entitled to certain veto rights in determining Itui’s voting on the Company. As a result, Best Ventures and the companies controlled by Best Ventures continued to be related parties of the Company.</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controlled by Itui, the principal shareholder of the Company.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2024 and 2025, significant related party transactions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cloud computing services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Xiaomi Inc.</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Beijing Itui</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advertising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Itui Online (note)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Shenzhen Xiaomi</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technical services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Shenzhen Xiaomi</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membership</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Beijing Xiaomi</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Shenzhen Tengtao</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Shenzhen Changsheng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Chizz</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Beijing Xiaobu</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motor vehicles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Xiaomi Jingming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Shenzhen Xiaomi</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2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Itui Online has been handling a majority of the Group’s advertising resources since May 2020, including negotiation and entering into contract with advertisers, matching the requirements of advertisers and dispatching the advertising content to Xunlei’s platforms, accordingly advertisers or advertising agencies are considered as customers of Itui Online and Itui Online is viewed as the customer of the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party transactions (Continued)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2025, the amounts due from/to related parties were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09"/>
        </w:trPr>
        <w:tc>
          <w:tcPr>
            <w:tcW w:w="6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 current</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Itui Online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40" w:type="dxa"/>
            <w:vAlign w:val="bottom"/>
          </w:tcPr>
          <w:p>
            <w:pPr>
              <w:spacing w:after="0"/>
              <w:rPr>
                <w:sz w:val="18"/>
                <w:szCs w:val="18"/>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Shenzhen Xiaomi</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Xiaomi Inc.</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40" w:type="dxa"/>
            <w:vAlign w:val="bottom"/>
          </w:tcPr>
          <w:p>
            <w:pPr>
              <w:spacing w:after="0"/>
              <w:rPr>
                <w:sz w:val="18"/>
                <w:szCs w:val="18"/>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Beijing Itui</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Beijing Xiaomi</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Chizz (note)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Pr>
          <w:p>
            <w:pPr>
              <w:spacing w:after="0"/>
              <w:rPr>
                <w:sz w:val="18"/>
                <w:szCs w:val="18"/>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related parties (individual balance was less than US$10)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09"/>
        </w:trPr>
        <w:tc>
          <w:tcPr>
            <w:tcW w:w="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12,832</w:t>
            </w:r>
          </w:p>
        </w:tc>
        <w:tc>
          <w:tcPr>
            <w:tcW w:w="40" w:type="dxa"/>
            <w:vAlign w:val="bottom"/>
          </w:tcPr>
          <w:p>
            <w:pPr>
              <w:spacing w:after="0"/>
              <w:rPr>
                <w:sz w:val="18"/>
                <w:szCs w:val="18"/>
                <w:color w:val="auto"/>
              </w:rPr>
            </w:pPr>
          </w:p>
        </w:tc>
      </w:tr>
      <w:tr>
        <w:trPr>
          <w:trHeight w:val="20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due from a related party - non-current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Chizz (note)</w:t>
            </w:r>
          </w:p>
        </w:tc>
        <w:tc>
          <w:tcPr>
            <w:tcW w:w="2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40" w:type="dxa"/>
            <w:vAlign w:val="bottom"/>
          </w:tcPr>
          <w:p>
            <w:pPr>
              <w:spacing w:after="0"/>
              <w:rPr>
                <w:sz w:val="18"/>
                <w:szCs w:val="18"/>
                <w:color w:val="auto"/>
              </w:rPr>
            </w:pPr>
          </w:p>
        </w:tc>
      </w:tr>
      <w:tr>
        <w:trPr>
          <w:trHeight w:val="209"/>
        </w:trPr>
        <w:tc>
          <w:tcPr>
            <w:tcW w:w="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19,826</w:t>
            </w:r>
          </w:p>
        </w:tc>
        <w:tc>
          <w:tcPr>
            <w:tcW w:w="40" w:type="dxa"/>
            <w:vAlign w:val="bottom"/>
          </w:tcPr>
          <w:p>
            <w:pPr>
              <w:spacing w:after="0"/>
              <w:rPr>
                <w:sz w:val="18"/>
                <w:szCs w:val="18"/>
                <w:color w:val="auto"/>
              </w:rPr>
            </w:pPr>
          </w:p>
        </w:tc>
      </w:tr>
      <w:tr>
        <w:trPr>
          <w:trHeight w:val="20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related parties (individual balance was less than US$10)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r>
      <w:tr>
        <w:trPr>
          <w:trHeight w:val="210"/>
        </w:trPr>
        <w:tc>
          <w:tcPr>
            <w:tcW w:w="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r>
    </w:tbl>
    <w:p>
      <w:pPr>
        <w:spacing w:after="0" w:line="198" w:lineRule="exact"/>
        <w:rPr>
          <w:sz w:val="20"/>
          <w:szCs w:val="20"/>
          <w:color w:val="auto"/>
        </w:rPr>
      </w:pPr>
    </w:p>
    <w:p>
      <w:pPr>
        <w:jc w:val="both"/>
        <w:ind w:left="660" w:right="40" w:hanging="65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In September 2021, Xunlei Network provided a loan amounted to US$20 million to Chizz at an interest rate of 3% per annum for a term of 2 years. The loan was extended for another 2 years at an interest rate of 5.10% per annum in September 2023 and September 2025, respectively. Itui has been a co-debtor since the loan was extended in September 2025.</w:t>
      </w:r>
    </w:p>
    <w:p>
      <w:pPr>
        <w:spacing w:after="0" w:line="172" w:lineRule="exact"/>
        <w:rPr>
          <w:sz w:val="20"/>
          <w:szCs w:val="20"/>
          <w:color w:val="auto"/>
        </w:rPr>
      </w:pPr>
    </w:p>
    <w:p>
      <w:pPr>
        <w:ind w:left="680" w:hanging="672"/>
        <w:spacing w:after="0"/>
        <w:tabs>
          <w:tab w:leader="none" w:pos="68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820-10 establishes a three-tier fair value hierarchy, which prioritizes the inputs used in measuring fair value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sz w:val="20"/>
          <w:szCs w:val="20"/>
          <w:color w:val="auto"/>
        </w:rPr>
      </w:pPr>
    </w:p>
    <w:p>
      <w:pPr>
        <w:jc w:val="both"/>
        <w:ind w:left="820" w:right="40" w:hanging="803"/>
        <w:spacing w:after="0" w:line="250" w:lineRule="auto"/>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 or based on quoted price in markets that are not active</w:t>
      </w:r>
    </w:p>
    <w:p>
      <w:pPr>
        <w:spacing w:after="0" w:line="1" w:lineRule="exact"/>
        <w:rPr>
          <w:sz w:val="20"/>
          <w:szCs w:val="20"/>
          <w:color w:val="auto"/>
        </w:rPr>
      </w:pPr>
    </w:p>
    <w:p>
      <w:pPr>
        <w:jc w:val="both"/>
        <w:ind w:left="860" w:right="60" w:hanging="841"/>
        <w:spacing w:after="0" w:line="260" w:lineRule="auto"/>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 and are significant to the overall fair value measurement</w:t>
      </w:r>
    </w:p>
    <w:p>
      <w:pPr>
        <w:spacing w:after="0" w:line="18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ASC 820-10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(Continued)</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on a recurring basis, by level within the fair value hierarchy as of December 31,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vMerge w:val="continue"/>
          </w:tcPr>
          <w:p>
            <w:pPr>
              <w:spacing w:after="0"/>
              <w:rPr>
                <w:sz w:val="15"/>
                <w:szCs w:val="15"/>
                <w:color w:val="auto"/>
              </w:rPr>
            </w:pPr>
          </w:p>
        </w:tc>
        <w:tc>
          <w:tcPr>
            <w:tcW w:w="8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vMerge w:val="continue"/>
          </w:tcPr>
          <w:p>
            <w:pPr>
              <w:spacing w:after="0"/>
              <w:rPr>
                <w:sz w:val="15"/>
                <w:szCs w:val="15"/>
                <w:color w:val="auto"/>
              </w:rPr>
            </w:pPr>
          </w:p>
        </w:tc>
        <w:tc>
          <w:tcPr>
            <w:tcW w:w="9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structured deposits and wealth management products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72,050</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72,050</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vMerge w:val="continue"/>
          </w:tcPr>
          <w:p>
            <w:pPr>
              <w:spacing w:after="0"/>
              <w:rPr>
                <w:sz w:val="15"/>
                <w:szCs w:val="15"/>
                <w:color w:val="auto"/>
              </w:rPr>
            </w:pPr>
          </w:p>
        </w:tc>
        <w:tc>
          <w:tcPr>
            <w:tcW w:w="8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vMerge w:val="continue"/>
          </w:tcPr>
          <w:p>
            <w:pPr>
              <w:spacing w:after="0"/>
              <w:rPr>
                <w:sz w:val="15"/>
                <w:szCs w:val="15"/>
                <w:color w:val="auto"/>
              </w:rPr>
            </w:pPr>
          </w:p>
        </w:tc>
        <w:tc>
          <w:tcPr>
            <w:tcW w:w="9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structured deposits and wealth management products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1,050,633</w:t>
            </w: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1,050,633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Investments in privately held companies for which the Company elected to record using the measurement alternative are re-measured on a non-recurring basis, using a market approach by adopting a back-solve method through comparison to a recent transaction and applied significant unobservable inputs and assumptions, these investments are categorized within Level 3 under the fair value hierarchy.</w:t>
      </w:r>
    </w:p>
    <w:p>
      <w:pPr>
        <w:spacing w:after="0" w:line="172" w:lineRule="exact"/>
        <w:rPr>
          <w:sz w:val="20"/>
          <w:szCs w:val="20"/>
          <w:color w:val="auto"/>
        </w:rPr>
      </w:pPr>
    </w:p>
    <w:p>
      <w:pPr>
        <w:ind w:left="680" w:hanging="672"/>
        <w:spacing w:after="0"/>
        <w:tabs>
          <w:tab w:leader="none" w:pos="68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Bandwidth purchase commitments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Group purchase bandwidth in the PRC under non-cancellable contract expiring on different dates. Payments under purchase of bandwidth are expensed on a straight-line basis over the duration of the respective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future minimum payments under non-cancellable bandwidth contracts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09"/>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is involved in a number of cases pending in various courts and arbitrations. These cases are related to alleged infringement of intellectual property rights, labor disputes and other routine and incidental matters to its business, among others. Adverse results in these cases may include awards of damages and may also result in, or even compel, a change in the Group</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business practices, which could impact the Group</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future financial results. The Group has not recorded any material liabilities in this regard as of December 31, 2024 and 2025.</w:t>
      </w:r>
    </w:p>
    <w:p>
      <w:pPr>
        <w:spacing w:after="0" w:line="178" w:lineRule="exact"/>
        <w:rPr>
          <w:sz w:val="20"/>
          <w:szCs w:val="20"/>
          <w:color w:val="auto"/>
        </w:rPr>
      </w:pPr>
    </w:p>
    <w:p>
      <w:pPr>
        <w:ind w:left="680" w:hanging="672"/>
        <w:spacing w:after="0"/>
        <w:tabs>
          <w:tab w:leader="none" w:pos="68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and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top 10 customers accounted for approximately 31%, 32% and 30% of the net revenues for the years ended December 31, 2023, 2024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revenue from Customer A was US$53,920,000, US$46,646,000 and US$67,129,000, accounted for approximately 15%, 14% and 15% of the Group’s total revenues, respectively. Other than this, no revenue derived from transactions with any other single customer represented 10% or more of the Group’s total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Group’s financing activities are denominated mainly in US$ and RMB. The RMB is not freely convertible into foreign currencies. Remittances of foreign currencies into the PRC and exchange of foreign currencies into the RMB require approval by foreign exchange administrative authorities and certain supporting documentation. The State Administration for Foreign Exchange, under the authority of the People’s Bank of China, controls the conversion of RMB into other currencies. The revenues and expenses of the Company’s subsidiaries incorporated in the PRC, the VIEs and VIEs’ subsidiaries are generally denominated in RMB and their assets and liabilities are denominated in RMB.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2025, substantially all of the Group’s cash and cash equivalents, restricted cash and short-term investments were held at reputable financial institutions in the jurisdictions where the Company, the Company’s subsidiaries, the VIEs and VIEs’ subsidiaries are located. The Group believes that it is not exposed to unusual risks as these financial institutions have high credit quality. The Group has not experienced any losses on its deposits of cash and cash equivalents, restricted cash and short-term investments.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entering into sales agreements, the Group performs ongoing credit assessments of its customers, taking into account their financial position, credit history and other factors such as current market conditions. Further, the Group has not experienced any significant bad debts with respect to its accounts receivable for the years ended December 31, 2023, 2024 and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exposed to credit risk in relation to other assets comprised of due from related parties and other receivables, which are typically unsecured. In evaluating the collectability of the balances, the Group considered various factors, including the related parties and third parties’ repayment history and their credit-worthiness. An allowance for credit losses is made when collection of the full amount is no longer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680" w:hanging="672"/>
        <w:spacing w:after="0"/>
        <w:tabs>
          <w:tab w:leader="none" w:pos="68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and risks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Relevant PRC laws and regulations permit payments of dividends by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subsidiaries, the VIEs and VIEs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subsidiaries in China only out of their retained earnings, if any, as determined in accordance with PRC accounting standards and regulations. In addition,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subsidiaries, the VIEs and VIEs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subsidiaries in China are required to make certain appropriation of net after-tax profits or increase in net assets to the statutory surplus fund (see note 2(aa)) prior to payment of any dividends. As a result of these and other restrictions under PRC laws and regulations,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subsidiaries, the VIEs and VIEs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subsidiaries in China are restricted in their ability to transfer their net assets to the Company in terms of cash dividends, loans or advances, which restricted portion amounted to US$174,952,000 as of December 31, 2025, or 13% of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total consolidated net assets. Even though the Company currently does not require any such dividends, loans or advances from the PRC subsidiaries, the VIEs and VIEs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subsidiaries for working capital and other funding purposes, the Company may in the future require additional cash resources from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subsidiaries, the VIEs and VIEs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subsidiaries in China due to changes in business conditions, to fund future acquisitions and development, or merely to declare and pay dividends to make distributions to shareholders.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cash transfers from the Company’s PRC subsidiaries to their parent companies outside of China are subject to PRC government control of currency conversion. Shortages in the availability of foreign currency at the time of requesting such conversion may temporarily delay the ability of the PRC subsidiaries, the VIE and VIE’s subsidiaries to remit sufficient foreign currency to pay dividends or other payments to the Company, or otherwise satisfy their foreign currency denominated obligations.</w:t>
      </w:r>
    </w:p>
    <w:p>
      <w:pPr>
        <w:spacing w:after="0" w:line="176" w:lineRule="exact"/>
        <w:rPr>
          <w:sz w:val="20"/>
          <w:szCs w:val="20"/>
          <w:color w:val="auto"/>
        </w:rPr>
      </w:pPr>
    </w:p>
    <w:p>
      <w:pPr>
        <w:ind w:left="680" w:hanging="672"/>
        <w:spacing w:after="0"/>
        <w:tabs>
          <w:tab w:leader="none" w:pos="68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equity interest in Shenzhen Onething</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 2026, Shenzhen Xunlei entered into definitive agreements to transfer an aggregate 50% equity interest in Shenzhen Onething for total cash consideration of RMB125.0 million (approximately US$18.1 million), comprising (i) 20% to Wuhan Kingsoft Cloud Information Technology Co., Ltd., a variable interest entity of Kingsoft Cloud Holdings Limited (Nasdaq: KC), for RMB50.0 million (approximately US$7.2 million), and (ii) 30% to Shenzhen Xinghan Zhilian Technology Co., Ltd.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Xinghan Zhilian</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an entity controlled by members of Shenzhen Onething</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management, for RMB75.0 million (approximately US$10.8 million). The transaction closed on March 16, 2026.</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Shenzhen Onething had total assets of US$74.4 million and net assets of US$34.1 million, and net income of US$1.9 million for the year then ended.</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a result of the transaction, the Company</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equity interest in Shenzhen Onething decreased from 70% to 20%, and the Company lost its controlling financial interest. The Company deconsolidated Shenzhen Onething effective March 16, 2026.</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a gain or loss on the deconsolidation in the first quarter of 2026 in accordance with ASC 810-10-40. As of the date of issuance of these financial statements, the Company has not completed the fair value assessment of its retained 20% interest and therefore cannot reasonably estimate the gain or loss.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disclosed in Note 19, in 2024 and 2025 the Company granted share-based awards covering 30% of Shenzhen Onething</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s equity to employees and management under the Shenzhen Onething 2024 Plan, subject to service conditions and performance conditions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either a liquidity event (defined as a change of control or initial public offering) or, for certain awards, solely an initial public offering. No share-based compensation expense was recognized in 2024 or 2025 as the performance conditions were not considered probable. The closing of this disposal transaction constituted a change of control and satisfied the liquidity event condition. The Company expects to recognize a cumulative catch-up adjustment of approximately US$4.7 million in share-based compensation expense in the first quarter of 2026 for those awards whose performance condition was satisfied.</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Following the disposal, the Company considers Shenzhen Onething a related party due to its retained 20% equity interest and significant influence. Xinghan Zhilian is also a related party, as it is controlled by Mr. Hao Li (70%), Mr. Yingqiao Liu (13.33%), and Mr. Lei Wu (16.67%), members of Shenzhen Onething</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management.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580" w:hanging="572"/>
        <w:spacing w:after="0"/>
        <w:tabs>
          <w:tab w:leader="none" w:pos="58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 condensed financial statements of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 S-X requires condensed financial information as to financial position, statements of cash flows and results of operations of a parent company as of the same dates and for the same periods for which audited consolidated financial statements have been presented when the restricted net assets of consolidated and unconsolidated subsidiaries together exceed 25 percent of consolidated net assets as of the end of the most recently completed fiscal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its investment in its subsidiaries, the VIEs and VIEs’ subsidiaries under the equity method of accounting.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investments are presented on the separate condensed balance sheets of the Company as “Investments in subsidiaries and consolidated VIEs”.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subsidiaries did not pay any dividends to the Company for the periods presented. Certain information and footnote disclosures generally included in financial statements prepared in accordance with U.S. GAAP have been condensed and omitted. The footnote disclosures represent supplemental information relating to the operations of the Company, as such, these statements should be read in conjunction with the notes to the consolidated financial statements of the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significant other commitments, long-term obligations, or guarantees as of December 31,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09"/>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group companies</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61,154</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57,581</w:t>
            </w: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group companies</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199,576</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 and consolidated VIEs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67,997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1,124,959</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330,006</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1,382,116</w:t>
            </w: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Due to group companies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11,950</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8,625</w:t>
            </w:r>
          </w:p>
        </w:tc>
      </w:tr>
      <w:tr>
        <w:trPr>
          <w:trHeight w:val="21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11,950</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8,625</w:t>
            </w: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shareholders’ equity</w:t>
            </w:r>
          </w:p>
        </w:tc>
        <w:tc>
          <w:tcPr>
            <w:tcW w:w="4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317,963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1,373,398</w:t>
            </w:r>
          </w:p>
        </w:tc>
      </w:tr>
      <w:tr>
        <w:trPr>
          <w:trHeight w:val="20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Xunlei Limited’s shareholders’ equity</w:t>
            </w:r>
          </w:p>
        </w:tc>
        <w:tc>
          <w:tcPr>
            <w:tcW w:w="2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318,056</w:t>
            </w: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1,373,491</w:t>
            </w: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330,006</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1,382,116</w:t>
            </w:r>
          </w:p>
        </w:tc>
      </w:tr>
      <w:tr>
        <w:trPr>
          <w:trHeight w:val="857"/>
        </w:trPr>
        <w:tc>
          <w:tcPr>
            <w:tcW w:w="4220" w:type="dxa"/>
            <w:vAlign w:val="bottom"/>
          </w:tcPr>
          <w:p>
            <w:pPr>
              <w:spacing w:after="0"/>
              <w:rPr>
                <w:sz w:val="24"/>
                <w:szCs w:val="24"/>
                <w:color w:val="auto"/>
              </w:rPr>
            </w:pPr>
          </w:p>
        </w:tc>
        <w:tc>
          <w:tcPr>
            <w:tcW w:w="4220" w:type="dxa"/>
            <w:vAlign w:val="bottom"/>
            <w:gridSpan w:val="3"/>
          </w:tcPr>
          <w:p>
            <w:pPr>
              <w:jc w:val="right"/>
              <w:ind w:right="3210"/>
              <w:spacing w:after="0"/>
              <w:rPr>
                <w:sz w:val="20"/>
                <w:szCs w:val="20"/>
                <w:color w:val="auto"/>
              </w:rPr>
            </w:pPr>
            <w:r>
              <w:rPr>
                <w:rFonts w:ascii="Times New Roman" w:cs="Times New Roman" w:eastAsia="Times New Roman" w:hAnsi="Times New Roman"/>
                <w:sz w:val="18"/>
                <w:szCs w:val="18"/>
                <w:color w:val="auto"/>
              </w:rPr>
              <w:t>F-53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47"/>
        </w:trPr>
        <w:tc>
          <w:tcPr>
            <w:tcW w:w="4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unless otherwise stated)</w:t>
      </w:r>
    </w:p>
    <w:p>
      <w:pPr>
        <w:spacing w:after="0" w:line="203" w:lineRule="exact"/>
        <w:rPr>
          <w:sz w:val="20"/>
          <w:szCs w:val="20"/>
          <w:color w:val="auto"/>
        </w:rPr>
      </w:pPr>
    </w:p>
    <w:p>
      <w:pPr>
        <w:ind w:left="3540" w:right="2860" w:hanging="3532"/>
        <w:spacing w:after="0" w:line="537" w:lineRule="auto"/>
        <w:tabs>
          <w:tab w:leader="none" w:pos="581"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Additional information: condensed financial statements of the Company (Continued) Condensed Statements of Operations</w:t>
      </w:r>
    </w:p>
    <w:tbl>
      <w:tblPr>
        <w:tblLayout w:type="fixed"/>
        <w:tblInd w:w="0" w:type="dxa"/>
        <w:tblCellMar>
          <w:top w:w="0" w:type="dxa"/>
          <w:left w:w="0" w:type="dxa"/>
          <w:bottom w:w="0" w:type="dxa"/>
          <w:right w:w="0" w:type="dxa"/>
        </w:tblCellMar>
      </w:tblP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bottom w:val="single" w:sz="8" w:color="auto"/>
            </w:tcBorders>
            <w:gridSpan w:val="7"/>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subsidiaries and consolidated VIEs</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1,050,119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1,048,310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1,048,265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Xunlei Limited’s common shareholders</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1,048,265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46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bottom w:val="single" w:sz="8" w:color="auto"/>
            </w:tcBorders>
            <w:gridSpan w:val="7"/>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activities with external parties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group companies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from group companies</w:t>
            </w:r>
          </w:p>
        </w:tc>
        <w:tc>
          <w:tcPr>
            <w:tcW w:w="2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 with external parties</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investing activities</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group companies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to group companies</w:t>
            </w:r>
          </w:p>
        </w:tc>
        <w:tc>
          <w:tcPr>
            <w:tcW w:w="2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with external parties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(8,193)</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646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F-54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236" w:name="page237"/>
    <w:bookmarkEnd w:id="236"/>
    <w:p>
      <w:pPr>
        <w:ind w:left="9080"/>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37" w:lineRule="exact"/>
        <w:rPr>
          <w:sz w:val="20"/>
          <w:szCs w:val="20"/>
          <w:color w:val="auto"/>
        </w:rPr>
      </w:pPr>
    </w:p>
    <w:p>
      <w:pPr>
        <w:jc w:val="center"/>
        <w:ind w:left="1000" w:right="3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Rights of Each Class of Securities Registered under Section 12 of the Securities Exchange Act of 1934 (the “Exchange Act”)</w:t>
      </w:r>
    </w:p>
    <w:p>
      <w:pPr>
        <w:spacing w:after="0" w:line="15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Xunlei Limited (“Xunlei,” “we,” “our,” “our company,” or “us”) had the following series of securities registered pursuant to Section 12(b) of the Securities Exchange Act of 1934, as amended: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Name of each exchange on which</w:t>
            </w: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8"/>
        </w:trPr>
        <w:tc>
          <w:tcPr>
            <w:tcW w:w="3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Ticker symbol</w:t>
            </w:r>
          </w:p>
        </w:tc>
      </w:tr>
      <w:tr>
        <w:trPr>
          <w:trHeight w:val="191"/>
        </w:trPr>
        <w:tc>
          <w:tcPr>
            <w:tcW w:w="324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American depositary shares (“ADSs”),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 (The</w:t>
            </w:r>
          </w:p>
        </w:tc>
        <w:tc>
          <w:tcPr>
            <w:tcW w:w="260" w:type="dxa"/>
            <w:vAlign w:val="bottom"/>
          </w:tcPr>
          <w:p>
            <w:pPr>
              <w:spacing w:after="0"/>
              <w:rPr>
                <w:sz w:val="16"/>
                <w:szCs w:val="16"/>
                <w:color w:val="auto"/>
              </w:rPr>
            </w:pPr>
          </w:p>
        </w:tc>
        <w:tc>
          <w:tcPr>
            <w:tcW w:w="3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XNET</w:t>
            </w:r>
          </w:p>
        </w:tc>
      </w:tr>
      <w:tr>
        <w:trPr>
          <w:trHeight w:val="216"/>
        </w:trPr>
        <w:tc>
          <w:tcPr>
            <w:tcW w:w="3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each representing five common 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3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shares, par value US$0.00025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 (The</w:t>
            </w: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34"/>
        </w:trPr>
        <w:tc>
          <w:tcPr>
            <w:tcW w:w="3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per share*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26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ind w:left="340" w:hanging="332"/>
        <w:spacing w:after="0"/>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Global Select Market of American depositary shares.</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exhibit contains a description of the rights of (i) the holders of our common shares and (ii) the holders of ADSs. Common shares underlying the ADSs are held by JPMorgan Chase Bank, N.A., as depositary, and holders of ADSs will not be treated as holders of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of Xunlei do not have preemptive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number of common shares issued and outstanding as of the last day of our company’s respective fiscal year is provided on the cover of the annual report on Form 20-F (the “Form 20-F”) of our company. Certificates representing the common shares are issued in registered form. Xunlei will issue only non-negotiable shares, and will not issue bearer or negotiable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 (Item 9.A.7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the Shares (Item 10.B.3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Association—Common Shares” of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694690</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Amendments (Item 10.B.4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of the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Shares (Item 10.B.6 of Form 20-F)</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the laws of the Cayman Islands or Xunlei’s currently effective memorandum and articles of association on the rights of non-resident or foreign shareholders to hold or exercise voting rights on its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of the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are no provisions in Xunlei’s currently effective memorandum and articles of association that require our company to disclose shareholder ownership above any particular ownership threshold. However, shareholders of Xunlei will be required to disclose shareholder ownership in accordance with applicable laws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7"/>
          <w:szCs w:val="17"/>
          <w:color w:val="auto"/>
        </w:rPr>
        <w:t>In order to effect such a merger or consolidation, the directors of each constituent company must approve a written plan of merger or consolidation, which must then be authorized by (1) a special resolution of the shareholders of each constituent company, and</w:t>
      </w:r>
    </w:p>
    <w:p>
      <w:pPr>
        <w:spacing w:after="0" w:line="1" w:lineRule="exact"/>
        <w:rPr>
          <w:sz w:val="20"/>
          <w:szCs w:val="20"/>
          <w:color w:val="auto"/>
        </w:rPr>
      </w:pPr>
    </w:p>
    <w:p>
      <w:pPr>
        <w:ind w:right="40" w:firstLine="8"/>
        <w:spacing w:after="0" w:line="260" w:lineRule="auto"/>
        <w:tabs>
          <w:tab w:leader="none" w:pos="2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together with a declaration as to the solvency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3" w:right="1039" w:bottom="1440" w:gutter="0" w:footer="0" w:header="0"/>
        </w:sectPr>
      </w:pPr>
    </w:p>
    <w:bookmarkStart w:id="238" w:name="page239"/>
    <w:bookmarkEnd w:id="238"/>
    <w:p>
      <w:pPr>
        <w:ind w:right="40"/>
        <w:spacing w:after="0" w:line="256" w:lineRule="auto"/>
        <w:rPr>
          <w:sz w:val="20"/>
          <w:szCs w:val="20"/>
          <w:color w:val="auto"/>
        </w:rPr>
      </w:pPr>
      <w:r>
        <w:rPr>
          <w:rFonts w:ascii="Times New Roman" w:cs="Times New Roman" w:eastAsia="Times New Roman" w:hAnsi="Times New Roman"/>
          <w:sz w:val="18"/>
          <w:szCs w:val="18"/>
          <w:color w:val="auto"/>
        </w:rPr>
        <w:t>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92"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39" w:name="page240"/>
    <w:bookmarkEnd w:id="23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83" w:lineRule="exact"/>
        <w:rPr>
          <w:sz w:val="20"/>
          <w:szCs w:val="20"/>
          <w:color w:val="auto"/>
        </w:rPr>
      </w:pPr>
    </w:p>
    <w:p>
      <w:pPr>
        <w:ind w:left="660" w:hanging="328"/>
        <w:spacing w:after="0"/>
        <w:tabs>
          <w:tab w:leader="none" w:pos="660" w:val="left"/>
        </w:tabs>
        <w:numPr>
          <w:ilvl w:val="0"/>
          <w:numId w:val="2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every director and officer of our company for the time being and from time to time shall be indemnified and secured harmless out of the assets and funds of the company against all actions, proceedings, costs, charges, expenses, losses, damages or liabilities incurred or sustained by him, otherwise than by reason of his own dishonesty, actual fraud or willful default,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Cayman Islands or elsewhere. This standard of conduct is generally the same as permitted under the Delaware General Corporation Law for a Delaware corporation.</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t>the opinion of the SEC, such indemnification is against public policy as expressed in the Securities Act and is therefore unenforceable.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62"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76"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memorandum and articles of association, any one or more shareholders holding not less than one-third of the aggregate voting power of the company as at the date of deposit of the requisition carrying the right to vote at general meetings of the company shall have the right, by written requisition to the company, to require an extraordinary general meeting to be called by the board of directors for the transaction of any business specified in such requisition.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at any time before the expiration of his term of office notwithstanding anything in our memorandum and articles of association or in any agreement between our company and such director (but without prejudice to any claim for damages under any such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5" w:right="1019" w:bottom="1440" w:gutter="0" w:footer="0" w:header="0"/>
        </w:sectPr>
      </w:pPr>
    </w:p>
    <w:bookmarkStart w:id="242" w:name="page243"/>
    <w:bookmarkEnd w:id="242"/>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980" w:hanging="324"/>
        <w:spacing w:after="0"/>
        <w:tabs>
          <w:tab w:leader="none" w:pos="9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consent in writing of the holders of a majority of the issued shares of that class or with the sanction of an ordinary resolution passed at a separate meeting of the holders of the shares of that class.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by ordinary resolution:</w:t>
      </w:r>
    </w:p>
    <w:p>
      <w:pPr>
        <w:spacing w:after="0" w:line="225" w:lineRule="exact"/>
        <w:rPr>
          <w:sz w:val="20"/>
          <w:szCs w:val="20"/>
          <w:color w:val="auto"/>
        </w:rPr>
      </w:pPr>
    </w:p>
    <w:p>
      <w:pPr>
        <w:ind w:left="980" w:right="20" w:hanging="324"/>
        <w:spacing w:after="0" w:line="282" w:lineRule="auto"/>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244" w:name="page245"/>
    <w:bookmarkEnd w:id="244"/>
    <w:p>
      <w:pPr>
        <w:jc w:val="both"/>
        <w:ind w:left="980" w:hanging="324"/>
        <w:spacing w:after="0" w:line="266" w:lineRule="auto"/>
        <w:tabs>
          <w:tab w:leader="none" w:pos="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certain provisions, our shareholders may by special resolution:</w:t>
      </w:r>
    </w:p>
    <w:p>
      <w:pPr>
        <w:spacing w:after="0" w:line="225" w:lineRule="exact"/>
        <w:rPr>
          <w:sz w:val="20"/>
          <w:szCs w:val="20"/>
          <w:color w:val="auto"/>
        </w:rPr>
      </w:pPr>
    </w:p>
    <w:p>
      <w:pPr>
        <w:ind w:left="980" w:hanging="324"/>
        <w:spacing w:after="0"/>
        <w:tabs>
          <w:tab w:leader="none" w:pos="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of association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and any capital redemption reserve in any manner authorized by law.</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All new shares created hereunder shall be subject to the same provisions with reference to the payment of calls, liens, transfer, transmission, forfeiture and otherwise as the shares in the original share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 (Item 12.A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Rights (Item 12.B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Securities (Item 12.C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Depositary Shares (Items 12.D.1 and 12.D.2 of Form 20-F)</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JPMorgan Chase Bank, N.A. (“JPMorgan”), as depositary, will issue the ADSs that you will be entitled to receive in this offering. Each ADS will represent an ownership interest in a designated number or percentage of shares that we will deposit with the custodian, as agent of the depositary, under the deposit agreement among ourselves, the depositary, and all holders and beneficial owners from time to time of American depositary receipts issued thereunder.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depositary’s office is located at 270 Park Avenue, Floor 8, New York, New York 10017.</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ADS-to-share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in ADSs. A beneficial owner need not be the holder of the ADR evidencing such ADS. If a beneficial owner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and the holder of the corresponding ADRs may affect the beneficial owner’s ability to exercise any rights it may have.</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ectPr>
          <w:pgSz w:w="11900" w:h="16838" w:orient="portrait"/>
          <w:cols w:equalWidth="0" w:num="1">
            <w:col w:w="9920"/>
          </w:cols>
          <w:pgMar w:left="980" w:top="877" w:right="99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45" w:name="page246"/>
    <w:bookmarkEnd w:id="245"/>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that reflect your ownership of ADSs.</w:t>
      </w:r>
    </w:p>
    <w:p>
      <w:pPr>
        <w:spacing w:after="0" w:line="12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our company and the depositary and its agents are also set out in the deposit agreement. Because the depositary or its nominee will actually be the registered owner of the shares, you must rely on it to exercise the rights of a shareholder on your behalf.</w:t>
      </w:r>
    </w:p>
    <w:p>
      <w:pPr>
        <w:spacing w:after="0" w:line="13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 agreement, the ADRs and the ADSs are governed by the internal laws of the State of New York without giving effect to the application of the conflict of law principles thereof. Under the deposit agreement, as an ADR holder or a beneficial owner of ADSs, you agree that any legal suit, action or proceeding against or involving us or the depositary, arising out of or based upon the deposit agreement, the ADSs, the ADRs or the transactions contemplated thereby, may only be instituted by you in the United States District Court for the Southern District of New York (or, in certain cases, the state courts of New York County, New York), and you irrevocably waive any objection which you may have to the laying of venue of any such proceeding and irrevocably submit to the exclusive jurisdiction of such courts in any such suit, action or proceeding.</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that contains the terms of your ADSs. You can read a copy of the deposit agreement, which is filed as an exhibit to the registration statement (or amendment thereto) filed with the U.S. Securities and Exchange Commission (the “SEC”) of which this prospectus forms a part. You may also obtain a copy of the deposit agreement at the SEC’s Public Reference Room, which is currently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Deposited Securities,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and/or property under the deposit agreement. Such division, branch and/or affiliate may charge the depositary a fee in connection with such sales, which fee is considered an expense of the depositary chargeable to holders of ADSs. All sales of securities will be handled by the depositary in accordance with its then current policies. You will receive these distributions in proportion to the number of underlying securities that your ADSs represent. In all instances where the deposit agreement or an ADR refers to a “sale” (or words of similar import) of 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us: (i) the depositary shall, in the event the deposit agreement is terminated and the depositary holds deposited securities that are not listed and publicly traded after the termination date of the deposit agreement, act in accordance with the termination provisions of the deposit agreement and form of ADR in respect of such securities and property; and (ii) in the event the depositary or its custodian receives a distribution other than cash, our shares and/or rights to acquire our shares, and such distribution consists of securities or property that are not distributed by the depositary the depositary will be deemed to have sold the aggregate number of securities and/or property so received for nominal value and shall have no obligation to distribute such securities or any proceeds from the deemed sale thereof to the ADR holders. Furthermore, in the event the depositary endeavors to make a sale of shares, other securities or property, such securities and/or property may be sold in a block sale or single lot transaction.</w:t>
      </w:r>
    </w:p>
    <w:p>
      <w:pPr>
        <w:sectPr>
          <w:pgSz w:w="11900" w:h="16838" w:orient="portrait"/>
          <w:cols w:equalWidth="0" w:num="1">
            <w:col w:w="9900"/>
          </w:cols>
          <w:pgMar w:left="980" w:top="877" w:right="1019" w:bottom="1440" w:gutter="0" w:footer="0" w:header="0"/>
        </w:sect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type w:val="continuous"/>
        </w:sectPr>
      </w:pPr>
    </w:p>
    <w:bookmarkStart w:id="246" w:name="page247"/>
    <w:bookmarkEnd w:id="246"/>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60" w:lineRule="exact"/>
        <w:rPr>
          <w:sz w:val="20"/>
          <w:szCs w:val="20"/>
          <w:color w:val="auto"/>
        </w:rPr>
      </w:pPr>
    </w:p>
    <w:p>
      <w:pPr>
        <w:ind w:left="1300" w:hanging="644"/>
        <w:spacing w:after="0" w:line="252" w:lineRule="auto"/>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 or other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or the net proceeds of sales of any other distribution or portion thereof (to the extent applicable), on an averaged or other practicable basis, subject to (i) appropriate adjustments for taxes withheld, (ii) such distribution being permissible or practicable with respect to certain registered ADR holders, and (iii) deduction of the depositary’s and/or its agents’ fees and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ADR holders issued in respect of such deposited securities. To the extent we or the depositary shall be required to withhold and do withhold from any cash dividend, distribution or net proceeds from sales in respect of any deposited securities an amount on account of taxes, the amount distributed on the ADSs issued in respect of such deposited securities shall be reduced accordingly.</w:t>
      </w:r>
    </w:p>
    <w:p>
      <w:pPr>
        <w:spacing w:after="0" w:line="142" w:lineRule="exact"/>
        <w:rPr>
          <w:rFonts w:ascii="Times New Roman" w:cs="Times New Roman" w:eastAsia="Times New Roman" w:hAnsi="Times New Roman"/>
          <w:sz w:val="18"/>
          <w:szCs w:val="18"/>
          <w:color w:val="auto"/>
        </w:rPr>
      </w:pPr>
    </w:p>
    <w:p>
      <w:pPr>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depositary determines in its discretion that it would not be permitted by applicable law, rule or regulation, or it would not otherwise be practicable, to convert foreign currency into U.S. dollars and distribute such U.S. dollars to some or all of the ADR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ADR holders entitled to receive the same. To the extent the depositary retains and holds any cash, foreign currency, securities or other property as permitted under the deposit agreement, any and all fees, charges and expenses related to, or arising from, the holding thereof shall be paid from such cash, foreign currency, securities or other property, or the net proceeds from the sale thereof, thereby reducing the amount so held. </w:t>
      </w:r>
      <w:r>
        <w:rPr>
          <w:rFonts w:ascii="Times New Roman" w:cs="Times New Roman" w:eastAsia="Times New Roman" w:hAnsi="Times New Roman"/>
          <w:sz w:val="18"/>
          <w:szCs w:val="18"/>
          <w:i w:val="1"/>
          <w:iCs w:val="1"/>
          <w:color w:val="auto"/>
        </w:rPr>
        <w:t>If exchange rates fluctuate during a time when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depositary cannot convert a foreign currency, you may lose some or all of the value of the distribution.</w:t>
      </w:r>
    </w:p>
    <w:p>
      <w:pPr>
        <w:spacing w:after="0" w:line="138"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ADSs representing such shares. Only whole ADSs will be issued. Any shares that would result in fractional ADSs will be sold and the net proceeds of the public or private sales of such will be distributed in the same manner as cash to the ADR holders entitled thereto.</w:t>
      </w:r>
    </w:p>
    <w:p>
      <w:pPr>
        <w:spacing w:after="0" w:line="125" w:lineRule="exact"/>
        <w:rPr>
          <w:rFonts w:ascii="Times New Roman" w:cs="Times New Roman" w:eastAsia="Times New Roman" w:hAnsi="Times New Roman"/>
          <w:sz w:val="18"/>
          <w:szCs w:val="18"/>
          <w:color w:val="auto"/>
        </w:rPr>
      </w:pPr>
    </w:p>
    <w:p>
      <w:pPr>
        <w:ind w:left="1300" w:right="320" w:hanging="644"/>
        <w:spacing w:after="0" w:line="261" w:lineRule="auto"/>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 shares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27"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of the public or private sales of such rights in the same manner as cash to the ADR holders entitled thereto; or</w:t>
      </w:r>
    </w:p>
    <w:p>
      <w:pPr>
        <w:spacing w:after="0" w:line="107" w:lineRule="exact"/>
        <w:rPr>
          <w:rFonts w:ascii="Times New Roman" w:cs="Times New Roman" w:eastAsia="Times New Roman" w:hAnsi="Times New Roman"/>
          <w:sz w:val="18"/>
          <w:szCs w:val="18"/>
          <w:color w:val="auto"/>
        </w:rPr>
      </w:pPr>
    </w:p>
    <w:p>
      <w:pPr>
        <w:jc w:val="both"/>
        <w:ind w:left="1960" w:right="400" w:hanging="656"/>
        <w:spacing w:after="0" w:line="266" w:lineRule="auto"/>
        <w:tabs>
          <w:tab w:leader="none" w:pos="19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22" w:lineRule="exact"/>
        <w:rPr>
          <w:sz w:val="20"/>
          <w:szCs w:val="20"/>
          <w:color w:val="auto"/>
        </w:rPr>
      </w:pPr>
    </w:p>
    <w:p>
      <w:pPr>
        <w:ind w:left="1300" w:right="140"/>
        <w:spacing w:after="0" w:line="282" w:lineRule="auto"/>
        <w:rPr>
          <w:sz w:val="20"/>
          <w:szCs w:val="20"/>
          <w:color w:val="auto"/>
        </w:rPr>
      </w:pPr>
      <w:r>
        <w:rPr>
          <w:rFonts w:ascii="Times New Roman" w:cs="Times New Roman" w:eastAsia="Times New Roman" w:hAnsi="Times New Roman"/>
          <w:sz w:val="18"/>
          <w:szCs w:val="18"/>
          <w:color w:val="auto"/>
        </w:rPr>
        <w:t>We have no obligation to file a registration statement under the Securities Act in order to make any rights available to ADR holders.</w:t>
      </w:r>
    </w:p>
    <w:p>
      <w:pPr>
        <w:spacing w:after="0" w:line="106" w:lineRule="exact"/>
        <w:rPr>
          <w:sz w:val="20"/>
          <w:szCs w:val="20"/>
          <w:color w:val="auto"/>
        </w:rPr>
      </w:pPr>
    </w:p>
    <w:p>
      <w:pPr>
        <w:ind w:left="1300" w:right="20" w:hanging="644"/>
        <w:spacing w:after="0" w:line="261"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of public or private sales in the same way it distributes cash.</w:t>
      </w:r>
    </w:p>
    <w:p>
      <w:pPr>
        <w:spacing w:after="0" w:line="125" w:lineRule="exact"/>
        <w:rPr>
          <w:rFonts w:ascii="Times New Roman" w:cs="Times New Roman" w:eastAsia="Times New Roman" w:hAnsi="Times New Roman"/>
          <w:sz w:val="18"/>
          <w:szCs w:val="18"/>
          <w:color w:val="auto"/>
        </w:rPr>
      </w:pPr>
    </w:p>
    <w:p>
      <w:pPr>
        <w:jc w:val="both"/>
        <w:ind w:left="1300" w:right="380" w:hanging="644"/>
        <w:spacing w:after="0" w:line="284"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Elective Distributions</w:t>
      </w:r>
      <w:r>
        <w:rPr>
          <w:rFonts w:ascii="Times New Roman" w:cs="Times New Roman" w:eastAsia="Times New Roman" w:hAnsi="Times New Roman"/>
          <w:sz w:val="18"/>
          <w:szCs w:val="18"/>
          <w:color w:val="auto"/>
        </w:rPr>
        <w:t>. In the case of a dividend payable at the election of our shareholders in cash or in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we will notify the depositary at least 30 days prior to the proposed distribution stating whether or</w:t>
      </w:r>
    </w:p>
    <w:p>
      <w:pPr>
        <w:sectPr>
          <w:pgSz w:w="11900" w:h="16838" w:orient="portrait"/>
          <w:cols w:equalWidth="0" w:num="1">
            <w:col w:w="9900"/>
          </w:cols>
          <w:pgMar w:left="980" w:top="877" w:right="1019" w:bottom="144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type w:val="continuous"/>
        </w:sectPr>
      </w:pPr>
    </w:p>
    <w:bookmarkStart w:id="247" w:name="page248"/>
    <w:bookmarkEnd w:id="247"/>
    <w:p>
      <w:pPr>
        <w:ind w:left="1300" w:right="80"/>
        <w:spacing w:after="0" w:line="272" w:lineRule="auto"/>
        <w:rPr>
          <w:sz w:val="20"/>
          <w:szCs w:val="20"/>
          <w:color w:val="auto"/>
        </w:rPr>
      </w:pPr>
      <w:r>
        <w:rPr>
          <w:rFonts w:ascii="Times New Roman" w:cs="Times New Roman" w:eastAsia="Times New Roman" w:hAnsi="Times New Roman"/>
          <w:sz w:val="17"/>
          <w:szCs w:val="17"/>
          <w:color w:val="auto"/>
        </w:rPr>
        <w:t>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w:t>
      </w:r>
    </w:p>
    <w:p>
      <w:pPr>
        <w:spacing w:after="0" w:line="2" w:lineRule="exact"/>
        <w:rPr>
          <w:sz w:val="20"/>
          <w:szCs w:val="20"/>
          <w:color w:val="auto"/>
        </w:rPr>
      </w:pPr>
    </w:p>
    <w:p>
      <w:pPr>
        <w:ind w:left="1300" w:right="40" w:firstLine="4"/>
        <w:spacing w:after="0" w:line="251" w:lineRule="auto"/>
        <w:tabs>
          <w:tab w:leader="none" w:pos="16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ordinary shares for which no election is made, either (x) cash or (y) additional ADSs representing such additional ordinary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ordinary shares.</w:t>
      </w:r>
    </w:p>
    <w:p>
      <w:pPr>
        <w:spacing w:after="0" w:line="15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the depositary determines in its sole discretion that any distribution described above is not practicable with respect to any or all ADR holders, the depositary may choose any method of distribution that it deems practicable for such ADR holder, including the distribution of some or all of any cash, foreign currency, securities or other property (or appropriate documents evidencing the right to receive some or all of any such cash, foreign currency, security or other property), and/or it may retain some or all of such items, without paying interest on or investing them, on behalf of the ADR holder as deposited securities, in which case the ADSs will also represent the retained items. To the extent the depositary does not reasonably believe it will be permitted by applicable law, rule or regulation to convert foreign currency into U.S. dollars and distribute such U.S. dollars to some or all of the ADR holders, the depositary may in its discretion distribute the foreign currency received by the depositary to, or hold such foreign currency uninvested and without liability for interest thereon for the respective accounts of, the ADR holders entitled to receive the same. To the extent the depositary holds such foreign currency, any and all costs and expenses related to, or arising from, the holding of such foreign currency shall be paid from such foreign currency thereby reducing the amount so held.</w:t>
      </w:r>
    </w:p>
    <w:p>
      <w:pPr>
        <w:spacing w:after="0" w:line="16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Any U.S. dollars will be paid via wire transfer and/or distributed by checks drawn on a bank in the United States for whole dollars and cents. Fractional cents will be withheld without liability and dealt with by the depositary in accordance with its then current practices.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4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w:t>
      </w:r>
    </w:p>
    <w:p>
      <w:pPr>
        <w:sectPr>
          <w:pgSz w:w="11900" w:h="16838" w:orient="portrait"/>
          <w:cols w:equalWidth="0" w:num="1">
            <w:col w:w="9900"/>
          </w:cols>
          <w:pgMar w:left="980" w:top="877" w:right="1019"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type w:val="continuous"/>
        </w:sectPr>
      </w:pPr>
    </w:p>
    <w:bookmarkStart w:id="248" w:name="page249"/>
    <w:bookmarkEnd w:id="248"/>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2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ADR holder’s name. An ADR holder can request that the ADSs not be held through the depositary’s direct registration system and that a certificated ADR be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subject to the provisions of or governing our shares (including, without limitation, our governing documents and all applicable laws, rules and regulations), the depositary will, upon payment of certain applicable fees, charges and taxes, deliver the underlying shares to you or upon your written order. Delivery of deposited securities in certificated form will be made at the custodian’s office (or from the custodian to the extent dematerialized). At your risk, expense and request, the depositary may deliver deposited securities (including any certificates therefor) at such other place as you may request.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71" w:lineRule="exact"/>
        <w:rPr>
          <w:sz w:val="20"/>
          <w:szCs w:val="20"/>
          <w:color w:val="auto"/>
        </w:rPr>
      </w:pPr>
    </w:p>
    <w:p>
      <w:pPr>
        <w:ind w:left="1300" w:right="80" w:hanging="644"/>
        <w:spacing w:after="0" w:line="282" w:lineRule="auto"/>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1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7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122" w:lineRule="exact"/>
        <w:rPr>
          <w:sz w:val="20"/>
          <w:szCs w:val="20"/>
          <w:color w:val="auto"/>
        </w:rPr>
      </w:pPr>
    </w:p>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w:t>
      </w:r>
    </w:p>
    <w:p>
      <w:pPr>
        <w:spacing w:after="0" w:line="17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fees assessed by, or owing to, the depositary for administration of the ADR program and for any expenses as provided for in the ADR, or</w:t>
      </w:r>
    </w:p>
    <w:p>
      <w:pPr>
        <w:spacing w:after="0" w:line="1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or be obligated in respect of 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thirty (30) days prior to the date of such vote or meeting, the depositary shall, at our expense, distribute to the registered ADR holders a “voting notice” stating (i) final information particular to</w:t>
      </w:r>
    </w:p>
    <w:p>
      <w:pPr>
        <w:sectPr>
          <w:pgSz w:w="11900" w:h="16838" w:orient="portrait"/>
          <w:cols w:equalWidth="0" w:num="1">
            <w:col w:w="9920"/>
          </w:cols>
          <w:pgMar w:left="980" w:top="877" w:right="99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49" w:name="page250"/>
    <w:bookmarkEnd w:id="249"/>
    <w:p>
      <w:pPr>
        <w:spacing w:after="0" w:line="254" w:lineRule="auto"/>
        <w:rPr>
          <w:sz w:val="20"/>
          <w:szCs w:val="20"/>
          <w:color w:val="auto"/>
        </w:rPr>
      </w:pPr>
      <w:r>
        <w:rPr>
          <w:rFonts w:ascii="Times New Roman" w:cs="Times New Roman" w:eastAsia="Times New Roman" w:hAnsi="Times New Roman"/>
          <w:sz w:val="18"/>
          <w:szCs w:val="18"/>
          <w:color w:val="auto"/>
        </w:rPr>
        <w:t>such vote and meeting and any solicitation materials, (ii)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5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56"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Cayman Islands law and our memorandum and articles of association, each as in effect as of the date of this prospectus, voting at any meeting of our shareholders is by show of hands unless a poll is (before or on the declaration of the results of the show of hands or on the withdrawal of any other demand for a poll) demanded. In the event that voting on any resolution or matter is conducted on a show of hands basis in accordance with our memorandum and articles of association, the depositary will refrain from voting and the voting instructions received by the depositary shall lapse. The depositary will not demand a poll or join in demanding a poll, whether or not requested to do so.</w:t>
      </w:r>
    </w:p>
    <w:p>
      <w:pPr>
        <w:spacing w:after="0" w:line="14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w:t>
      </w:r>
    </w:p>
    <w:p>
      <w:pPr>
        <w:spacing w:after="0" w:line="15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60"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20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 agreement, the provisions of or governing deposited securities, and any written communications from us which are both received by the custodian or its nominee as a holder of deposited securities and made generally available to the holders of deposited securities, are available for inspection by ADR holders at the offices of the depositary in the United States, on the SEC’s internet website or upon request to the depositary (which request may be refused by the depositary at its discretion).</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w:t>
      </w:r>
    </w:p>
    <w:p>
      <w:pPr>
        <w:sectPr>
          <w:pgSz w:w="11900" w:h="16838" w:orient="portrait"/>
          <w:cols w:equalWidth="0" w:num="1">
            <w:col w:w="9920"/>
          </w:cols>
          <w:pgMar w:left="980" w:top="877" w:right="99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50" w:name="page251"/>
    <w:bookmarkEnd w:id="250"/>
    <w:p>
      <w:pPr>
        <w:ind w:right="20"/>
        <w:spacing w:after="0" w:line="256" w:lineRule="auto"/>
        <w:rPr>
          <w:sz w:val="20"/>
          <w:szCs w:val="20"/>
          <w:color w:val="auto"/>
        </w:rPr>
      </w:pPr>
      <w:r>
        <w:rPr>
          <w:rFonts w:ascii="Times New Roman" w:cs="Times New Roman" w:eastAsia="Times New Roman" w:hAnsi="Times New Roman"/>
          <w:sz w:val="18"/>
          <w:szCs w:val="18"/>
          <w:color w:val="auto"/>
        </w:rPr>
        <w:t>declared by us or issuances pursuant to a merger, exchange of securities or any other transaction or event affecting the ADSs or deposited securities, and each person surrendering ADSs for withdrawal of deposited securities or whose ADSs are cancelled or reduced for any other reason, a fee of up to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3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following additional fees, charges and expenses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26" w:lineRule="exact"/>
        <w:rPr>
          <w:sz w:val="20"/>
          <w:szCs w:val="20"/>
          <w:color w:val="auto"/>
        </w:rPr>
      </w:pPr>
    </w:p>
    <w:p>
      <w:pPr>
        <w:ind w:left="1300" w:right="14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any cash distribution made, or for any elective cash/stock dividend offered, pursuant to the deposit agreement;</w:t>
      </w:r>
    </w:p>
    <w:p>
      <w:pPr>
        <w:spacing w:after="0" w:line="107" w:lineRule="exact"/>
        <w:rPr>
          <w:rFonts w:ascii="Times New Roman" w:cs="Times New Roman" w:eastAsia="Times New Roman" w:hAnsi="Times New Roman"/>
          <w:sz w:val="18"/>
          <w:szCs w:val="18"/>
          <w:color w:val="auto"/>
        </w:rPr>
      </w:pPr>
    </w:p>
    <w:p>
      <w:pPr>
        <w:ind w:left="1300" w:right="300" w:hanging="644"/>
        <w:spacing w:after="0" w:line="261"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25"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for the reimbursement of such fees, charges and expenses as are incurred by the depositary and/or any of its agents (including, without limitation, the custodian, as well as charges and expenses incurred on behalf of ADR holders in connection with compliance with foreign exchange control regulations or any law, rule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134" w:lineRule="exact"/>
        <w:rPr>
          <w:rFonts w:ascii="Times New Roman" w:cs="Times New Roman" w:eastAsia="Times New Roman" w:hAnsi="Times New Roman"/>
          <w:sz w:val="18"/>
          <w:szCs w:val="18"/>
          <w:color w:val="auto"/>
        </w:rPr>
      </w:pPr>
    </w:p>
    <w:p>
      <w:pPr>
        <w:ind w:left="1300" w:right="340" w:hanging="644"/>
        <w:spacing w:after="0" w:line="258"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$0.05 per ADS held for the direct or indirect distribution of securities (other than ADSs or rights to purchase additional ADSs) or the net cash proceeds from the public or private sale of such securities, regardless of whether any such distribution and/or sale is made by, for, or received from, or (in each case) on behalf of, the depositary, us and/or any third party (which fee may be assessed against ADR holders as of a record date set by the depositary);</w:t>
      </w:r>
    </w:p>
    <w:p>
      <w:pPr>
        <w:spacing w:after="0" w:line="1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71" w:lineRule="exact"/>
        <w:rPr>
          <w:rFonts w:ascii="Times New Roman" w:cs="Times New Roman" w:eastAsia="Times New Roman" w:hAnsi="Times New Roman"/>
          <w:sz w:val="18"/>
          <w:szCs w:val="18"/>
          <w:color w:val="auto"/>
        </w:rPr>
      </w:pPr>
    </w:p>
    <w:p>
      <w:pPr>
        <w:ind w:left="1300" w:right="340" w:hanging="644"/>
        <w:spacing w:after="0" w:line="261"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fee per cancellation request (including any cancellation request made through SWIFT, facsimile transmission or any other method of communication) as disclosed on the “Disclosures” page (or successor page) of www.adr.com (as updated by the depositary from time to time, “ADR.com”) and any applicable delivery expenses (which are payable by such persons or ADR holders);</w:t>
      </w:r>
    </w:p>
    <w:p>
      <w:pPr>
        <w:spacing w:after="0" w:line="125"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0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the banking division of JPMorgan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w:t>
      </w:r>
    </w:p>
    <w:p>
      <w:pPr>
        <w:sectPr>
          <w:pgSz w:w="11900" w:h="16838" w:orient="portrait"/>
          <w:cols w:equalWidth="0" w:num="1">
            <w:col w:w="9920"/>
          </w:cols>
          <w:pgMar w:left="980" w:top="877" w:right="99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51" w:name="page252"/>
    <w:bookmarkEnd w:id="251"/>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ADR holders or beneficial owners. </w:t>
      </w:r>
      <w:r>
        <w:rPr>
          <w:rFonts w:ascii="Times New Roman" w:cs="Times New Roman" w:eastAsia="Times New Roman" w:hAnsi="Times New Roman"/>
          <w:sz w:val="18"/>
          <w:szCs w:val="18"/>
          <w:i w:val="1"/>
          <w:iCs w:val="1"/>
          <w:color w:val="auto"/>
        </w:rPr>
        <w:t>The spread applied does not reflect any gains or losses that may be earned or incurred by the Bank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 as a result of risk management or other hedging related activity.</w:t>
      </w:r>
    </w:p>
    <w:p>
      <w:pPr>
        <w:spacing w:after="0" w:line="13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2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2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will pay all other fees, charges and expenses of the depositary and any agent of the depositary (except the custodian) pursuant to agreements from time to time between us and the depositary.</w:t>
      </w:r>
    </w:p>
    <w:p>
      <w:pPr>
        <w:spacing w:after="0" w:line="10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right of the depositary to charge and receive payment of fees, charges and expenses survives the termination of the deposit agreement, and shall extend for those fees, charges and expenses incurred prior to the effectiveness of any resignation or removal of the depositary.</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Under certain limited circumstances the depositary may also agree to reduce or waive certain fees that would normally be charged on ADSs issued to or at the director of, or otherwise held by, us and/or certain holders and beneficial owners and holders and beneficial owners of shares of ours.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ADR holders and/or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us, the depositary, each’s respective agents in respect of such tax or other governmental charge. Notwithstanding the depositary’s right to seek payment from current or former ADR holders and beneficial owners, each ADR holder and beneficial owner, and each prior ADR holder and beneficial owner, by holding or owning, or having held or owned, an ADR or an interest in ADSs acknowledges and agrees that the depositary has no obligation to seek payment of amounts owing from any current or prior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w:t>
      </w:r>
    </w:p>
    <w:p>
      <w:pPr>
        <w:sectPr>
          <w:pgSz w:w="11900" w:h="16838" w:orient="portrait"/>
          <w:cols w:equalWidth="0" w:num="1">
            <w:col w:w="9920"/>
          </w:cols>
          <w:pgMar w:left="980" w:top="877" w:right="99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52" w:name="page253"/>
    <w:bookmarkEnd w:id="252"/>
    <w:p>
      <w:pPr>
        <w:ind w:right="20"/>
        <w:spacing w:after="0" w:line="255" w:lineRule="auto"/>
        <w:rPr>
          <w:sz w:val="20"/>
          <w:szCs w:val="20"/>
          <w:color w:val="auto"/>
        </w:rPr>
      </w:pPr>
      <w:r>
        <w:rPr>
          <w:rFonts w:ascii="Times New Roman" w:cs="Times New Roman" w:eastAsia="Times New Roman" w:hAnsi="Times New Roman"/>
          <w:sz w:val="18"/>
          <w:szCs w:val="18"/>
          <w:color w:val="auto"/>
        </w:rPr>
        <w:t>transfer, split-up or combination of ADRs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Neither we nor the depositary nor any of our or its respective agents, shall be liable to ADR holders or beneficial owners of the ADSs for failure of any of them to comply with applicable tax laws, rules and/or regulations.</w:t>
      </w:r>
    </w:p>
    <w:p>
      <w:pPr>
        <w:spacing w:after="0" w:line="14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1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the extent not prohibited by law, rule, regulation, fiduciary duty, contractual or confidential obligation or otherwise, the depositary will forward to us such information actually in the depositary’s possession from the transfer records maintained by the depositary in accordance with its policies and procedures as we may reasonably request in writing to enable us to file any reports required to be filed by us with governmental authorities or agencies to comply with applicable law; provided, however, for the avoidance of doubt, the depositary shall have no liability for the accuracy of any such information and shall not be required to incur or become subject to any risk, liability, cost or expense and shall be indemnified by us in connection with the foregoing.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8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53" w:lineRule="exact"/>
        <w:rPr>
          <w:sz w:val="20"/>
          <w:szCs w:val="20"/>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by public or private sale any securities or property received and distribute the proceeds as cash; 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thirty (30) days’ notice of any amendment that imposes or increases any fees on a per ADS basis, charges or expenses (other than stock transfer or other taxes and other governmental charges, transfer or registration fees, a transaction fee per cancellation request (including any cancellation request made through SWIFT, facsimile transmission or any other method of communication), applicable delivery expenses or other such fees, charges or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or beneficial owner continues to hold an ADR or ADRs, or an interest therein,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6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amendments or supplements that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w:t>
      </w:r>
    </w:p>
    <w:p>
      <w:pPr>
        <w:sectPr>
          <w:pgSz w:w="11900" w:h="16838" w:orient="portrait"/>
          <w:cols w:equalWidth="0" w:num="1">
            <w:col w:w="9900"/>
          </w:cols>
          <w:pgMar w:left="980" w:top="877" w:right="1019" w:bottom="1440" w:gutter="0" w:footer="0" w:header="0"/>
        </w:sect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type w:val="continuous"/>
        </w:sectPr>
      </w:pPr>
    </w:p>
    <w:bookmarkStart w:id="253" w:name="page254"/>
    <w:bookmarkEnd w:id="253"/>
    <w:p>
      <w:pPr>
        <w:spacing w:after="0" w:line="256" w:lineRule="auto"/>
        <w:rPr>
          <w:sz w:val="20"/>
          <w:szCs w:val="20"/>
          <w:color w:val="auto"/>
        </w:rPr>
      </w:pPr>
      <w:r>
        <w:rPr>
          <w:rFonts w:ascii="Times New Roman" w:cs="Times New Roman" w:eastAsia="Times New Roman" w:hAnsi="Times New Roman"/>
          <w:sz w:val="18"/>
          <w:szCs w:val="18"/>
          <w:color w:val="auto"/>
        </w:rPr>
        <w:t>prejudice any substantial rights of ADR holders or beneficial owners. Notwithstanding the foregoing, if any governmental body or regulatory body should adopt new laws, rules or regulations that would require amendment or supplement of the deposit agreement or the form of ADR to ensure compliance therewith, we and the depositary may amend or supplement the deposit agreement and the form of ADR (and all outstanding ADRs)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depositary may at any time, and shall at our written direction, terminate the deposit agreement and the ADRs by mailing notice of such termination to the registered holders of ADRs at least thirty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sixty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 Notwithstanding anything to the contrary in the deposit agreement, the depositary may terminate the deposit agreement (a) without notifying us, but subject to giving thirty (30) days’ notice to the ADR holders, under the following circumstances: (i) in the event of our bankruptcy, liquidation proceedings or insolvency, (ii) if the ADSs are delisted from a “national securities exchange” (that has registered with the Commission under Section 6 of the Securities Exchange Act of 1934), (iii) if we effect (or will effect) a redemption of all or substantially all of the deposited securities, or a cash or share distribution representing a return of all or substantially all of the value of the deposited securities, (iv) there are no deposited securities with respect to ADSs remaining, including if the deposited securities are cancelled, or the deposit securities have been deemed to have no value, or (v) there occurs a merger, consolidation, sale of assets or other transaction as a result of which securities or other property are delivered in exchange for or in lieu of deposited securities, and (b) immediately without prior notice to the Company, any ADR holder or beneficial owner or any other person if (i) required by any law, rule or regulation relating to sanctions by any governmental authority or body, (ii) the depositary would be subject to liability under or pursuant to any law, rule or regulation that can be reasonably expected to apply to the depositary or any of its agents in connection with, arising from, or otherwise related to its or their roles and/or performance under the deposit agreement,, or (iii) required by any governmental authority or body, in each case under (b) as determined by the depositary in its reasonable discretion.</w:t>
      </w:r>
    </w:p>
    <w:p>
      <w:pPr>
        <w:spacing w:after="0" w:line="13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our shares are not listed and publicly traded on a stock exchange or in a securities market as of the date so fixed for termination or if, for any reason, the depositary does not sell the deposited securities, then after such date fixed for termination, the depositary shall use its reasonable efforts to ensure that the ADSs cease to be eligible for settlement within The Depository Trust Company (DTC) and that neither DTC nor any of its nominees shall thereafter be an ADR holder. At such time as the ADSs cease to be DTC eligible and/or neither DTC nor any of its nominees is an ADR holder, to the extent we are not, to the depositary’s knowledge, insolvent or in bankruptcy or liquidation, the depositary shall (A) cancel all outstanding ADRs; (B) request DTC to provide the depositary with information on those holding ADSs through DTC and, upon receipt thereof, revise the ADR register to reflect the information provided by DTC; (C) instruct its custodian to deliver all deposited securities to us, a subsidiary or affiliate of ours (the company representative) or an independent trust company engaged by us (the trustee) to hold those deposited securities in trust for the beneficial owners of the ADRs if we are not permitted to hold any of the deposited securities under applicable law and/or we have directed the depositary to deliver such deposited securities to the company representative or trustee along with a stock transfer form and/or such other instruments of transfer covering such deposited securities as are needed under applicable law, in either case referring to the names set forth on the ADR register and (D) provide us with a copy of the ADR register.</w:t>
      </w:r>
    </w:p>
    <w:p>
      <w:pPr>
        <w:spacing w:after="0" w:line="13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Upon receipt of any instrument of transfer covering such deposited securities, any applicable share certificate or indemnity for lost share certificate and the ADR Register, we have agreed that we will, approve the transfer of the deposited securities previously represented by the ADSs evidenced by their ADRs the persons listed on the ADR register (as applicable), procure the relevant updates to the register of members of the Company to reflect the transfer of the deposited securities previously represented by their ADRs to the persons listed on the ADR register (as applicable) and provide the depositary with a certified copy of the updated register of our shareholders.</w:t>
      </w:r>
    </w:p>
    <w:p>
      <w:pPr>
        <w:spacing w:after="0" w:line="133"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To the extent the depositary reasonably believes that we are insolvent, or if we are in receivership, have filed for bankruptcy and/or are otherwise in restructuring, administration or liquidation, and in any such case the deposited securities are not listed and</w:t>
      </w:r>
    </w:p>
    <w:p>
      <w:pPr>
        <w:sectPr>
          <w:pgSz w:w="11900" w:h="16838" w:orient="portrait"/>
          <w:cols w:equalWidth="0" w:num="1">
            <w:col w:w="9920"/>
          </w:cols>
          <w:pgMar w:left="980" w:top="877" w:right="99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54" w:name="page255"/>
    <w:bookmarkEnd w:id="254"/>
    <w:p>
      <w:pPr>
        <w:spacing w:after="0" w:line="253" w:lineRule="auto"/>
        <w:rPr>
          <w:sz w:val="20"/>
          <w:szCs w:val="20"/>
          <w:color w:val="auto"/>
        </w:rPr>
      </w:pPr>
      <w:r>
        <w:rPr>
          <w:rFonts w:ascii="Times New Roman" w:cs="Times New Roman" w:eastAsia="Times New Roman" w:hAnsi="Times New Roman"/>
          <w:sz w:val="18"/>
          <w:szCs w:val="18"/>
          <w:color w:val="auto"/>
        </w:rPr>
        <w:t>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 shall be deemed to have instructed the depositary that the deposited securities have no value). The depositary may (and, by holding an ADR or an interest therein, all holders irrevocably consent and agree that the depositary may) instruct its custodian to deliver all deposited securities to us (acting, as applicable by an administrator, receiver, administrative receiver, liquidator, provisional liquidator, restructuring officer, interim restructuring officer, trustee, controller or other entity overseeing the bankruptcy, insolvency, administration, restructuring or liquidation process) and notify us that the deposited shares are surrendered for no consideration. The deposit agreement requires us, subject to applicable law, to promptly accept the surrender of the deposited shares for no consideration and deliver to the depositary a written notice confirming (A) the acceptance of the surrender of the deposited securities for no consideration and (B) the cancellation of such deposited shares. Promptly after notifying us that the deposited shares are surrendered for no consideration and irrespective of whether we haves complied with the immediately preceding sentence, the depositary shall notify ADR holders that their ADSs have been cancelled with no consideration being payable to such ADR holders.</w:t>
      </w:r>
    </w:p>
    <w:p>
      <w:pPr>
        <w:spacing w:after="0" w:line="13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Upon the depositary’s compliance with the provisions of any of the above three paragraphs, the depositary and its agents shall be discharged from all, and cease to have any, obligations under the deposit agreement and the ADRs.</w:t>
      </w:r>
    </w:p>
    <w:p>
      <w:pPr>
        <w:spacing w:after="0" w:line="10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our shares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pro rata benefit of the holders entitled thereto. After making such sale, the depositary shall be discharged from all obligations in respect of the deposit agreement and the ADRs, except to account for such net proceeds and other cash.</w:t>
      </w:r>
    </w:p>
    <w:p>
      <w:pPr>
        <w:spacing w:after="0" w:line="13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beneficial owners and others</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22" w:lineRule="exact"/>
        <w:rPr>
          <w:sz w:val="20"/>
          <w:szCs w:val="20"/>
          <w:color w:val="auto"/>
        </w:rPr>
      </w:pPr>
    </w:p>
    <w:p>
      <w:pPr>
        <w:jc w:val="both"/>
        <w:ind w:left="1300" w:right="120" w:hanging="644"/>
        <w:spacing w:after="0" w:line="265" w:lineRule="auto"/>
        <w:tabs>
          <w:tab w:leader="none" w:pos="1300" w:val="left"/>
        </w:tabs>
        <w:numPr>
          <w:ilvl w:val="0"/>
          <w:numId w:val="2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23" w:lineRule="exact"/>
        <w:rPr>
          <w:rFonts w:ascii="Arial" w:cs="Arial" w:eastAsia="Arial" w:hAnsi="Arial"/>
          <w:sz w:val="18"/>
          <w:szCs w:val="18"/>
          <w:b w:val="1"/>
          <w:bCs w:val="1"/>
          <w:color w:val="auto"/>
        </w:rPr>
      </w:pPr>
    </w:p>
    <w:p>
      <w:pPr>
        <w:ind w:left="1300" w:right="220" w:hanging="644"/>
        <w:spacing w:after="0" w:line="258" w:lineRule="auto"/>
        <w:tabs>
          <w:tab w:leader="none" w:pos="1300" w:val="left"/>
        </w:tabs>
        <w:numPr>
          <w:ilvl w:val="0"/>
          <w:numId w:val="2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128" w:lineRule="exact"/>
        <w:rPr>
          <w:rFonts w:ascii="Arial" w:cs="Arial" w:eastAsia="Arial" w:hAnsi="Arial"/>
          <w:sz w:val="18"/>
          <w:szCs w:val="18"/>
          <w:b w:val="1"/>
          <w:bCs w:val="1"/>
          <w:color w:val="auto"/>
        </w:rPr>
      </w:pPr>
    </w:p>
    <w:p>
      <w:pPr>
        <w:ind w:left="1300" w:right="80" w:hanging="644"/>
        <w:spacing w:after="0" w:line="311" w:lineRule="auto"/>
        <w:tabs>
          <w:tab w:leader="none" w:pos="1300" w:val="left"/>
        </w:tabs>
        <w:numPr>
          <w:ilvl w:val="0"/>
          <w:numId w:val="237"/>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compliance with such regulations as the depositary may establish consistent with the deposit agreement or as the depositary believes are required, necessary or advisable in order to comply with applicable laws, rules and regulations.</w:t>
      </w:r>
    </w:p>
    <w:p>
      <w:pPr>
        <w:spacing w:after="0" w:line="8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required, necessary or advisable by the depositary for any reason provided that the ability to withdraw shares may only be limited under the following circumstances: (i) temporary delays caused by closing transfer books of the depositary or our transfer books or the deposit of shares in connection with voting at a shareholders’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5" w:name="page256"/>
    <w:bookmarkEnd w:id="255"/>
    <w:p>
      <w:pPr>
        <w:ind w:right="440"/>
        <w:spacing w:after="0" w:line="266" w:lineRule="auto"/>
        <w:rPr>
          <w:sz w:val="20"/>
          <w:szCs w:val="20"/>
          <w:color w:val="auto"/>
        </w:rPr>
      </w:pPr>
      <w:r>
        <w:rPr>
          <w:rFonts w:ascii="Times New Roman" w:cs="Times New Roman" w:eastAsia="Times New Roman" w:hAnsi="Times New Roman"/>
          <w:sz w:val="18"/>
          <w:szCs w:val="18"/>
          <w:color w:val="auto"/>
        </w:rPr>
        <w:t>meeting, or the payment of dividends, (ii) the payment of fees, taxes, and similar charges, and (iii) compliance with any laws or governmental regulations relating to ADRs or to the withdrawal of deposited securities. The depositary may close the ADR register (and/or any portion thereof) at any time or from time to time when deemed expedient by it.</w:t>
      </w:r>
    </w:p>
    <w:p>
      <w:pPr>
        <w:spacing w:after="0" w:line="1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the depositary’s custodian or ourselves and each of our and their respective directors, officers, employees, agents and affiliates, provided, however, that no provision of the deposit agreement is intended to constitute a waiver or limitation of any rights that ADR holders or beneficial owners may have under the Securities Act or the Securities Exchange Act of 1934, to the extent applicable. The deposit agreement provides that each of us, the depositary and our respective directors, officers, employees, agents and affiliates will:</w:t>
      </w:r>
    </w:p>
    <w:p>
      <w:pPr>
        <w:spacing w:after="0" w:line="129" w:lineRule="exact"/>
        <w:rPr>
          <w:sz w:val="20"/>
          <w:szCs w:val="20"/>
          <w:color w:val="auto"/>
        </w:rPr>
      </w:pPr>
    </w:p>
    <w:p>
      <w:pPr>
        <w:ind w:left="1300" w:right="20" w:hanging="644"/>
        <w:spacing w:after="0" w:line="253"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ADR holders or beneficial owners) if any present or future law, rule, regulation, fiat, order or decree of the United States, the Cayman Islands, Hong Kong,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our, the depositary’s or our respective directors’, officers’, employees’, agents’ or affiliates’ direct and immediate control shall prevent or delay, or shall cause any of them to be subject to any civil or criminal penalty in connection with, any act which the deposit agreement or the ADRs provide shall be done or performed by any such party (including, without limitation, voting);</w:t>
      </w:r>
    </w:p>
    <w:p>
      <w:pPr>
        <w:spacing w:after="0" w:line="137"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ADR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129"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it performs its obligations specifically set forth in the deposit agreement and ADRs without gross negligence or willful misconduct;</w:t>
      </w:r>
    </w:p>
    <w:p>
      <w:pPr>
        <w:spacing w:after="0" w:line="10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107"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us in expense or liability, unless indemnity satisfactory to us or our agent, as the case may be against all expense (including fees and disbursements of counsel) and liability is furnished as often as may be requested;</w:t>
      </w:r>
    </w:p>
    <w:p>
      <w:pPr>
        <w:spacing w:after="0" w:line="129" w:lineRule="exact"/>
        <w:rPr>
          <w:rFonts w:ascii="Times New Roman" w:cs="Times New Roman" w:eastAsia="Times New Roman" w:hAnsi="Times New Roman"/>
          <w:sz w:val="18"/>
          <w:szCs w:val="18"/>
          <w:color w:val="auto"/>
        </w:rPr>
      </w:pPr>
    </w:p>
    <w:p>
      <w:pPr>
        <w:ind w:left="1300" w:right="300" w:hanging="644"/>
        <w:spacing w:after="0" w:line="261"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(including, without limitation, to ADR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from us; or</w:t>
      </w:r>
    </w:p>
    <w:p>
      <w:pPr>
        <w:spacing w:after="0" w:line="12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shall not be a fiduciary or have any fiduciary duty to ADR holders or beneficial owners.</w:t>
      </w:r>
    </w:p>
    <w:p>
      <w:pPr>
        <w:spacing w:after="0" w:line="17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w:t>
      </w:r>
    </w:p>
    <w:p>
      <w:pPr>
        <w:sectPr>
          <w:pgSz w:w="11900" w:h="16838" w:orient="portrait"/>
          <w:cols w:equalWidth="0" w:num="1">
            <w:col w:w="9920"/>
          </w:cols>
          <w:pgMar w:left="980" w:top="877" w:right="99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56" w:name="page257"/>
    <w:bookmarkEnd w:id="256"/>
    <w:p>
      <w:pPr>
        <w:ind w:right="80"/>
        <w:spacing w:after="0" w:line="255" w:lineRule="auto"/>
        <w:rPr>
          <w:sz w:val="20"/>
          <w:szCs w:val="20"/>
          <w:color w:val="auto"/>
        </w:rPr>
      </w:pPr>
      <w:r>
        <w:rPr>
          <w:rFonts w:ascii="Times New Roman" w:cs="Times New Roman" w:eastAsia="Times New Roman" w:hAnsi="Times New Roman"/>
          <w:sz w:val="18"/>
          <w:szCs w:val="18"/>
          <w:color w:val="auto"/>
        </w:rPr>
        <w:t>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Cayman Islands, Hong Kong, the People’s Republic of China , the United States or any other country or jurisdiction or of any governmental or regulatory authority or any securities exchange or market or automated quotation system.</w:t>
      </w:r>
    </w:p>
    <w:p>
      <w:pPr>
        <w:spacing w:after="0" w:line="180"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Additionally, none of the depositary, the custodian or us, or any of their or our respective directors, officers, employees, agents or affiliates shall be liable for the failure by any registered holder of ADRs or beneficial owner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us, the depositary, the custodian or any of our or their respective directors, officers, employees, agents or affiliates shall incur any liability for any tax or tax consequences that may be incurred by registered ADR holders or beneficial owners on account of their ownership or disposition of ADRs or ADSs.</w:t>
      </w:r>
    </w:p>
    <w:p>
      <w:pPr>
        <w:spacing w:after="0" w:line="17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7"/>
          <w:szCs w:val="17"/>
          <w:color w:val="auto"/>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 The depositary shall not incur any liability in connection with or arising from any failure, inability or refusal by us or any other party, including any share registrar, transfer agent or other agent appointed by us,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we nor the depositary nor any of our or their respective agents shall be liable for any indirect, special, punitive or consequential damages, or fees or expenses of counsel in connection therewith, or lost profits, in each case of any form incurred by any person or entity (including, without limitation ADR holders or beneficial owners), whether or not foreseeable and regardless of the type of action in which such a claim may be brought; provided, however, that (i) notwithstanding the foregoing and, for the avoidance of doubt, the depositary and its agents shall be entitled to legal fees and expenses in defending against any claim for such damages and (ii) to the extent such damages arise from or out of a claim brought by a third party (including, without limitation, ADR holders and beneficial owners) against the depositary or any of its agents, the depositary and its agents shall be entitled to full indemnification from us for all such damages, and reasonable fees and expenses of counsel in connection therewith, unless such damages are found to have been a direct result of the gross negligence or willful misconduct of the depositary.</w:t>
      </w:r>
    </w:p>
    <w:p>
      <w:pPr>
        <w:spacing w:after="0" w:line="200" w:lineRule="exact"/>
        <w:rPr>
          <w:sz w:val="20"/>
          <w:szCs w:val="20"/>
          <w:color w:val="auto"/>
        </w:rPr>
      </w:pPr>
    </w:p>
    <w:p>
      <w:pPr>
        <w:spacing w:after="0" w:line="208"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w:t>
      </w:r>
    </w:p>
    <w:p>
      <w:pPr>
        <w:sectPr>
          <w:pgSz w:w="11900" w:h="16838" w:orient="portrait"/>
          <w:cols w:equalWidth="0" w:num="1">
            <w:col w:w="9900"/>
          </w:cols>
          <w:pgMar w:left="980" w:top="877" w:right="101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type w:val="continuous"/>
        </w:sectPr>
      </w:pPr>
    </w:p>
    <w:bookmarkStart w:id="257" w:name="page258"/>
    <w:bookmarkEnd w:id="257"/>
    <w:p>
      <w:pPr>
        <w:jc w:val="both"/>
        <w:spacing w:after="0" w:line="266" w:lineRule="auto"/>
        <w:rPr>
          <w:sz w:val="20"/>
          <w:szCs w:val="20"/>
          <w:color w:val="auto"/>
        </w:rPr>
      </w:pPr>
      <w:r>
        <w:rPr>
          <w:rFonts w:ascii="Times New Roman" w:cs="Times New Roman" w:eastAsia="Times New Roman" w:hAnsi="Times New Roman"/>
          <w:sz w:val="18"/>
          <w:szCs w:val="18"/>
          <w:color w:val="auto"/>
        </w:rPr>
        <w:t>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In the deposit agreement we reserve the right to instruct ADR holders (and through them beneficial owners of ADSs) to deliver their ADSs for cancellation and withdrawal of the deposited securities so as to permit us to deal directly with such ADR holder and/or beneficial Owner thereof as a holder of Shares and, by holding an ADSs or interest therein, ADR holders and beneficial owners are agreeing to comply with such instructions.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20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135" w:lineRule="exact"/>
        <w:rPr>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84" w:lineRule="exact"/>
        <w:rPr>
          <w:rFonts w:ascii="Times New Roman" w:cs="Times New Roman" w:eastAsia="Times New Roman" w:hAnsi="Times New Roman"/>
          <w:sz w:val="18"/>
          <w:szCs w:val="18"/>
          <w:color w:val="auto"/>
        </w:rPr>
      </w:pPr>
    </w:p>
    <w:p>
      <w:pPr>
        <w:ind w:left="1300" w:right="300" w:hanging="644"/>
        <w:spacing w:after="0" w:line="258" w:lineRule="auto"/>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156" w:lineRule="exact"/>
        <w:rPr>
          <w:rFonts w:ascii="Times New Roman" w:cs="Times New Roman" w:eastAsia="Times New Roman" w:hAnsi="Times New Roman"/>
          <w:sz w:val="18"/>
          <w:szCs w:val="18"/>
          <w:color w:val="auto"/>
        </w:rPr>
      </w:pPr>
    </w:p>
    <w:p>
      <w:pPr>
        <w:ind w:left="1300" w:hanging="644"/>
        <w:spacing w:after="0" w:line="252" w:lineRule="auto"/>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to Jurisdiction</w:t>
      </w:r>
    </w:p>
    <w:p>
      <w:pPr>
        <w:sectPr>
          <w:pgSz w:w="11900" w:h="16838" w:orient="portrait"/>
          <w:cols w:equalWidth="0" w:num="1">
            <w:col w:w="9900"/>
          </w:cols>
          <w:pgMar w:left="980" w:top="877"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type w:val="continuous"/>
        </w:sectPr>
      </w:pPr>
    </w:p>
    <w:bookmarkStart w:id="258" w:name="page259"/>
    <w:bookmarkEnd w:id="258"/>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deposit agreement, we have submitted to the non-exclusive jurisdiction of the state and federal courts in New York, New York and appointed an agent for service of process on our behalf. Any action based on the deposit agreement, the ADSs, the ADRs or the transactions contemplated therein or thereby may also be instituted by the depositary against us in any competent court in Cayman Islands, the United States and/or any other court of competent jurisdiction, or, subject to certain exceptions, by the depositary through the commencement of an arbitration pursuant to the provisions of the deposit agreement.</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holders and beneficial owners each irrevocably agree that (i) any legal suit, action or proceeding against or involving holders or beneficial owners brought by us or the depositary, arising out of or based upon the deposit agreement, the ADSs, the ADRs or the transactions contemplated therein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 and (ii) any legal suit, action or proceeding against or involving us and/or the depositary brought by holders or beneficial owners, arising out of or based upon the deposit agreement, the ADSs, the ADRs or the transactions contemplated therein or thereby, including, without limitation, claims under the Securities Act of 1933, may be instituted only in the United States District Court for the Southern District of New York (or in the state courts of New York County in New York if either (a) the United States District Court for the Southern District of New York lacks subject matter jurisdiction over a particular dispute or (b) the designation of the United States District Court for the Southern District of New York as the exclusive forum for any particular dispute is, or becomes, invalid, illegal or unenforceable). In the deposit agreement each holder and beneficial owner irrevocably waives any objection which it may at any time have to the laying of venue of any such proceeding, and irrevocably submits to the jurisdiction of such courts in any such suit, action or proceeding.</w:t>
      </w:r>
    </w:p>
    <w:p>
      <w:pPr>
        <w:spacing w:after="0" w:line="19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in the deposit agreement to the contrary, by directly or indirectly holding or owing an ADR or ADS or an interest therein, holders and beneficial owners each agree that: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by having such dispute referred to and finally resolved by an arbitration; provided, however, to the extent there are specific federal securities law violation aspects to any claims against us and/or the depositary brought by any ADR holder or beneficial owner, such specific, and only such specific federal securities law violation aspects of such claims may be brought by any holder or beneficial owner in the United States District Court for the Southern District of New York (or if such court lacks subject matter jurisdiction, in the state courts of New York County in New York, New York) and all other aspects, claims, disputes, legal suits, actions and/or proceedings brought by such holder or beneficial owner, including those brought along with, or in addition to, federal securities law violation claims, would be referred to, or remain in arbitration.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all cases, the fees of the arbitrators and other costs incurred by the parties in connection with such arbitration shall be paid by the party (or parties) that is (or are) unsuccessful in such arbitration. Holders and beneficial owners shall not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our or the depositary’s compliance with the U.S. federal securities laws and the rules and regulations promulgated thereunder.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83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3rd Supplementary Agreement to the Exclusive Technical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Support and Technical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spacing w:after="0" w:line="219" w:lineRule="exact"/>
        <w:rPr>
          <w:sz w:val="20"/>
          <w:szCs w:val="20"/>
          <w:color w:val="auto"/>
        </w:rPr>
      </w:pPr>
      <w:r>
        <w:rPr>
          <w:rFonts w:ascii="Times New Roman" w:cs="Times New Roman" w:eastAsia="Times New Roman" w:hAnsi="Times New Roman"/>
          <w:sz w:val="18"/>
          <w:szCs w:val="18"/>
          <w:b w:val="1"/>
          <w:bCs w:val="1"/>
          <w:color w:val="auto"/>
        </w:rPr>
        <w:t>Party A</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Giganology (Shenzhen)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-96520</wp:posOffset>
            </wp:positionV>
            <wp:extent cx="43180" cy="882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0" w:lineRule="exact"/>
        <w:rPr>
          <w:sz w:val="20"/>
          <w:szCs w:val="20"/>
          <w:color w:val="auto"/>
        </w:rPr>
      </w:pPr>
    </w:p>
    <w:p>
      <w:pPr>
        <w:ind w:left="1300"/>
        <w:spacing w:after="0" w:line="219" w:lineRule="exact"/>
        <w:rPr>
          <w:sz w:val="20"/>
          <w:szCs w:val="20"/>
          <w:color w:val="auto"/>
        </w:rPr>
      </w:pPr>
      <w:r>
        <w:rPr>
          <w:rFonts w:ascii="Times New Roman" w:cs="Times New Roman" w:eastAsia="Times New Roman" w:hAnsi="Times New Roman"/>
          <w:sz w:val="18"/>
          <w:szCs w:val="18"/>
          <w:b w:val="1"/>
          <w:bCs w:val="1"/>
          <w:color w:val="auto"/>
        </w:rPr>
        <w:t>Party B</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Shenzhen Xunlei Networking Techonologies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638175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1243965</wp:posOffset>
            </wp:positionH>
            <wp:positionV relativeFrom="paragraph">
              <wp:posOffset>-96520</wp:posOffset>
            </wp:positionV>
            <wp:extent cx="43180" cy="882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60" w:name="page261"/>
    <w:bookmarkEnd w:id="260"/>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577850</wp:posOffset>
            </wp:positionV>
            <wp:extent cx="1303020" cy="6089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6089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83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Supplementary Agreement is entered into by the following two parties on September 15, 2025 in Shenzhen:</w:t>
      </w: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Party A</w:t>
      </w:r>
      <w:r>
        <w:rPr>
          <w:rFonts w:ascii="SimSun" w:cs="SimSun" w:eastAsia="SimSun" w:hAnsi="SimSun"/>
          <w:sz w:val="18"/>
          <w:szCs w:val="18"/>
          <w:color w:val="auto"/>
        </w:rPr>
        <w:t>：</w:t>
      </w:r>
      <w:r>
        <w:rPr>
          <w:rFonts w:ascii="Times New Roman" w:cs="Times New Roman" w:eastAsia="Times New Roman" w:hAnsi="Times New Roman"/>
          <w:sz w:val="18"/>
          <w:szCs w:val="18"/>
          <w:color w:val="auto"/>
        </w:rPr>
        <w:t>Giganology (Shenzhen) Co., Ltd.</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Legal Representative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Kening Wu</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Address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Xunlei Headquarters Building, 3709 Baishi Road, Nanshan, Shenzhen</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Party B</w:t>
      </w:r>
      <w:r>
        <w:rPr>
          <w:rFonts w:ascii="SimSun" w:cs="SimSun" w:eastAsia="SimSun" w:hAnsi="SimSun"/>
          <w:sz w:val="18"/>
          <w:szCs w:val="18"/>
          <w:color w:val="auto"/>
        </w:rPr>
        <w:t>：</w:t>
      </w:r>
      <w:r>
        <w:rPr>
          <w:rFonts w:ascii="Times New Roman" w:cs="Times New Roman" w:eastAsia="Times New Roman" w:hAnsi="Times New Roman"/>
          <w:sz w:val="18"/>
          <w:szCs w:val="18"/>
          <w:color w:val="auto"/>
        </w:rPr>
        <w:t>Shenzhen Xunlei Networking Technologies Co., Ltd</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Legal Representative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Kening Wu</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Address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Xunlei Headquarters Building, 3709 Baishi Road, Nanshan, Shenzhen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16, 2005, Party A and Party B jointly signed the “Exclusive Technical Consultation and Training Agreement”. On November 15, 2006, they executed the “Supplementary Agreement to the Exclusive Technical Support and Technical Service Agreement”. On March 10, 2014, they executed the “Supplementary Agreement II to the Exclusive Technical Support and Technical Service Agreement”. The aforementioned agreements are hereinafter collectively referred to as the “Original Agreement”. After amicable consultations between the two parties, the following supplementary clarifications are provided for the Original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Supplementary Agreement Terms:</w:t>
      </w:r>
    </w:p>
    <w:p>
      <w:pPr>
        <w:spacing w:after="0" w:line="225" w:lineRule="exact"/>
        <w:rPr>
          <w:sz w:val="20"/>
          <w:szCs w:val="20"/>
          <w:color w:val="auto"/>
        </w:rPr>
      </w:pPr>
    </w:p>
    <w:p>
      <w:pPr>
        <w:jc w:val="both"/>
        <w:ind w:firstLine="8"/>
        <w:spacing w:after="0" w:line="261" w:lineRule="auto"/>
        <w:tabs>
          <w:tab w:leader="none" w:pos="18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Party A and Party B agree to extend the validity period of the original agreement by ten years, that is, until September 15, 2035. Both Party A and Party B agree that upon the expiration of the aforementioned validity period, if Party A does not raise any written objection, the validity period of the original agreement will be automatically extended for another ten years, and so on, until Party A gives a written notice of termination.</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1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shall come into effect as of the date when both parties affix their official seals or contract-specific seals, and it shall have the same legal effect as the original agreement. Matters not stipulated in this supplementary agreement shall be subject to the provisions of the original agreement. In case of any conflict between this supplementary agreement and the original agreement, the provisions of this supplementary agreement shall prevail.</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duplicate, with each party holding one copy. Each copy has the same legal effect.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Party A:</w:t>
            </w:r>
          </w:p>
        </w:tc>
        <w:tc>
          <w:tcPr>
            <w:tcW w:w="6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Party B:</w:t>
            </w: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6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Date: September 15, 2025</w:t>
            </w:r>
          </w:p>
        </w:tc>
      </w:tr>
      <w:tr>
        <w:trPr>
          <w:trHeight w:val="918"/>
        </w:trPr>
        <w:tc>
          <w:tcPr>
            <w:tcW w:w="3160" w:type="dxa"/>
            <w:vAlign w:val="bottom"/>
          </w:tcPr>
          <w:p>
            <w:pPr>
              <w:spacing w:after="0"/>
              <w:rPr>
                <w:sz w:val="24"/>
                <w:szCs w:val="24"/>
                <w:color w:val="auto"/>
              </w:rPr>
            </w:pPr>
          </w:p>
        </w:tc>
        <w:tc>
          <w:tcPr>
            <w:tcW w:w="6760" w:type="dxa"/>
            <w:vAlign w:val="bottom"/>
          </w:tcPr>
          <w:p>
            <w:pPr>
              <w:ind w:left="1280"/>
              <w:spacing w:after="0" w:line="219" w:lineRule="exact"/>
              <w:rPr>
                <w:sz w:val="20"/>
                <w:szCs w:val="20"/>
                <w:color w:val="auto"/>
              </w:rPr>
            </w:pPr>
            <w:r>
              <w:rPr>
                <w:rFonts w:ascii="SimSun" w:cs="SimSun" w:eastAsia="SimSun" w:hAnsi="SimSun"/>
                <w:sz w:val="18"/>
                <w:szCs w:val="18"/>
                <w:color w:val="auto"/>
              </w:rPr>
              <w:t>第</w:t>
            </w:r>
            <w:r>
              <w:rPr>
                <w:rFonts w:ascii="Times New Roman" w:cs="Times New Roman" w:eastAsia="Times New Roman" w:hAnsi="Times New Roman"/>
                <w:sz w:val="18"/>
                <w:szCs w:val="18"/>
                <w:b w:val="1"/>
                <w:bCs w:val="1"/>
                <w:color w:val="auto"/>
              </w:rPr>
              <w:t xml:space="preserve">1 </w:t>
            </w:r>
            <w:r>
              <w:rPr>
                <w:rFonts w:ascii="SimSun" w:cs="SimSun" w:eastAsia="SimSun" w:hAnsi="SimSun"/>
                <w:sz w:val="18"/>
                <w:szCs w:val="18"/>
                <w:color w:val="auto"/>
              </w:rPr>
              <w:t>页</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rPr>
              <w:t>共</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rPr>
              <w:t>页</w:t>
            </w:r>
          </w:p>
        </w:tc>
      </w:tr>
      <w:tr>
        <w:trPr>
          <w:trHeight w:val="574"/>
        </w:trPr>
        <w:tc>
          <w:tcPr>
            <w:tcW w:w="31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283325" cy="6172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62833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6"/>
          <w:szCs w:val="26"/>
          <w:b w:val="1"/>
          <w:bCs w:val="1"/>
          <w:color w:val="auto"/>
          <w:vertAlign w:val="superscript"/>
        </w:rPr>
        <w:t>rd</w:t>
      </w:r>
      <w:r>
        <w:rPr>
          <w:rFonts w:ascii="Times New Roman" w:cs="Times New Roman" w:eastAsia="Times New Roman" w:hAnsi="Times New Roman"/>
          <w:sz w:val="18"/>
          <w:szCs w:val="18"/>
          <w:b w:val="1"/>
          <w:bCs w:val="1"/>
          <w:color w:val="auto"/>
        </w:rPr>
        <w:t xml:space="preserve"> Supplementary Agreement to the Exclusive Technical</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Consultancy and Training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spacing w:after="0" w:line="219" w:lineRule="exact"/>
        <w:rPr>
          <w:sz w:val="20"/>
          <w:szCs w:val="20"/>
          <w:color w:val="auto"/>
        </w:rPr>
      </w:pPr>
      <w:r>
        <w:rPr>
          <w:rFonts w:ascii="Times New Roman" w:cs="Times New Roman" w:eastAsia="Times New Roman" w:hAnsi="Times New Roman"/>
          <w:sz w:val="18"/>
          <w:szCs w:val="18"/>
          <w:b w:val="1"/>
          <w:bCs w:val="1"/>
          <w:color w:val="auto"/>
        </w:rPr>
        <w:t>Party A</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Giganology (Shenzhen)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-96520</wp:posOffset>
            </wp:positionV>
            <wp:extent cx="43180" cy="882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0" w:lineRule="exact"/>
        <w:rPr>
          <w:sz w:val="20"/>
          <w:szCs w:val="20"/>
          <w:color w:val="auto"/>
        </w:rPr>
      </w:pPr>
    </w:p>
    <w:p>
      <w:pPr>
        <w:ind w:left="1300"/>
        <w:spacing w:after="0" w:line="219" w:lineRule="exact"/>
        <w:rPr>
          <w:sz w:val="20"/>
          <w:szCs w:val="20"/>
          <w:color w:val="auto"/>
        </w:rPr>
      </w:pPr>
      <w:r>
        <w:rPr>
          <w:rFonts w:ascii="Times New Roman" w:cs="Times New Roman" w:eastAsia="Times New Roman" w:hAnsi="Times New Roman"/>
          <w:sz w:val="18"/>
          <w:szCs w:val="18"/>
          <w:b w:val="1"/>
          <w:bCs w:val="1"/>
          <w:color w:val="auto"/>
        </w:rPr>
        <w:t>Party B</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Shenzhen Xunlei Networking Techonologies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775335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1243965</wp:posOffset>
            </wp:positionH>
            <wp:positionV relativeFrom="paragraph">
              <wp:posOffset>-96520</wp:posOffset>
            </wp:positionV>
            <wp:extent cx="43180" cy="882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ectPr>
          <w:pgSz w:w="11900" w:h="16838" w:orient="portrait"/>
          <w:cols w:equalWidth="0" w:num="1">
            <w:col w:w="9900"/>
          </w:cols>
          <w:pgMar w:left="980" w:top="131" w:right="1019" w:bottom="1440" w:gutter="0" w:footer="0" w:header="0"/>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852170</wp:posOffset>
            </wp:positionV>
            <wp:extent cx="6283325" cy="6172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6283325" cy="6172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Supplementary Agreement is entered into by the following two parties on September 15, 2025 in Shenzhen:</w:t>
      </w: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Party A</w:t>
      </w:r>
      <w:r>
        <w:rPr>
          <w:rFonts w:ascii="SimSun" w:cs="SimSun" w:eastAsia="SimSun" w:hAnsi="SimSun"/>
          <w:sz w:val="18"/>
          <w:szCs w:val="18"/>
          <w:color w:val="auto"/>
        </w:rPr>
        <w:t>：</w:t>
      </w:r>
      <w:r>
        <w:rPr>
          <w:rFonts w:ascii="Times New Roman" w:cs="Times New Roman" w:eastAsia="Times New Roman" w:hAnsi="Times New Roman"/>
          <w:sz w:val="18"/>
          <w:szCs w:val="18"/>
          <w:color w:val="auto"/>
        </w:rPr>
        <w:t>Giganology (Shenzhen) Co., Ltd.</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Legal Representative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Kening Wu</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Address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Xunlei Headquarters Building, 3709 Baishi Road, Nanshan, Shenzhen</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Party B</w:t>
      </w:r>
      <w:r>
        <w:rPr>
          <w:rFonts w:ascii="SimSun" w:cs="SimSun" w:eastAsia="SimSun" w:hAnsi="SimSun"/>
          <w:sz w:val="18"/>
          <w:szCs w:val="18"/>
          <w:color w:val="auto"/>
        </w:rPr>
        <w:t>：</w:t>
      </w:r>
      <w:r>
        <w:rPr>
          <w:rFonts w:ascii="Times New Roman" w:cs="Times New Roman" w:eastAsia="Times New Roman" w:hAnsi="Times New Roman"/>
          <w:sz w:val="18"/>
          <w:szCs w:val="18"/>
          <w:color w:val="auto"/>
        </w:rPr>
        <w:t>Shenzhen Xunlei Networking Technologies Co., Ltd</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Legal Representative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Kening Wu</w:t>
      </w:r>
    </w:p>
    <w:p>
      <w:pPr>
        <w:spacing w:after="0" w:line="2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Address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Xunlei Headquarters Building, 3709 Baishi Road, Nanshan, Shenzhen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16, 2005, Party A and Party B jointly signed the “Exclusive Technical Consultation and Training Agreement”. On November 15, 2006, they executed the “Supplementary Agreement to the Exclusive Technical Consultation and Training Agreement”. On March 10, 2014, they executed the “Supplementary Agreement II to the Exclusive Technical Consultation and Training Agreement”. The aforementioned agreements are hereinafter collectively referred to as the “Original Agreement”. After amicable consultations between the two parties, the following supplementary clarifications are provided for the Original Agreement.</w:t>
      </w:r>
    </w:p>
    <w:p>
      <w:pPr>
        <w:spacing w:after="0" w:line="19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Supplementary Agreement Terms</w:t>
      </w:r>
      <w:r>
        <w:rPr>
          <w:rFonts w:ascii="SimSun" w:cs="SimSun" w:eastAsia="SimSun" w:hAnsi="SimSun"/>
          <w:sz w:val="18"/>
          <w:szCs w:val="18"/>
          <w:color w:val="auto"/>
        </w:rPr>
        <w:t>：</w:t>
      </w:r>
    </w:p>
    <w:p>
      <w:pPr>
        <w:spacing w:after="0" w:line="227" w:lineRule="exact"/>
        <w:rPr>
          <w:sz w:val="20"/>
          <w:szCs w:val="20"/>
          <w:color w:val="auto"/>
        </w:rPr>
      </w:pPr>
    </w:p>
    <w:p>
      <w:pPr>
        <w:jc w:val="both"/>
        <w:ind w:firstLine="8"/>
        <w:spacing w:after="0" w:line="261" w:lineRule="auto"/>
        <w:tabs>
          <w:tab w:leader="none" w:pos="1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Party A and Party B agree to extend the validity period of the original agreement by ten years, that is, until September 15, 2035. Both Party A and Party B agree that upon the expiration of the aforementioned validity period, if Party A does not raise any written objection, the validity period of the original agreement will be automatically extended for another ten years, and so on, until Party A gives a written notice of termination.</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1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shall come into effect as of the date when both parties affix their official seals or contract-specific seals, and it shall have the same legal effect as the original agreement. Matters not stipulated in this supplementary agreement shall be subject to the provisions of the original agreement. In case of any conflict between this supplementary agreement and the original agreement, the provisions of this supplementary agreement shall prevail.</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duplicate, with each party holding one copy. Each copy has the same legal effect.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Party A:</w:t>
            </w:r>
          </w:p>
        </w:tc>
        <w:tc>
          <w:tcPr>
            <w:tcW w:w="6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Party B:</w:t>
            </w: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6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 September 15, 2025</w:t>
            </w:r>
          </w:p>
        </w:tc>
      </w:tr>
      <w:tr>
        <w:trPr>
          <w:trHeight w:val="905"/>
        </w:trPr>
        <w:tc>
          <w:tcPr>
            <w:tcW w:w="3300" w:type="dxa"/>
            <w:vAlign w:val="bottom"/>
          </w:tcPr>
          <w:p>
            <w:pPr>
              <w:spacing w:after="0"/>
              <w:rPr>
                <w:sz w:val="24"/>
                <w:szCs w:val="24"/>
                <w:color w:val="auto"/>
              </w:rPr>
            </w:pPr>
          </w:p>
        </w:tc>
        <w:tc>
          <w:tcPr>
            <w:tcW w:w="66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Page 1</w:t>
            </w:r>
          </w:p>
        </w:tc>
      </w:tr>
      <w:tr>
        <w:trPr>
          <w:trHeight w:val="560"/>
        </w:trPr>
        <w:tc>
          <w:tcPr>
            <w:tcW w:w="33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4.29</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Certificate of Credit 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Shenzhen Xunlei Networking Technologies Co., Ltd.</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is to certify that Bank of Ningbo Co., Ltd. Shenzhen Branch (“the Bank”) has approved an unsecured general credit line of RMB 100 million for your company in April 2025, within a validity period of 1 year, including but not limited to revolving loans, acceptance bills, guaranteed discount for commercial bills, and domestic letters of credit, for meeting your company’s working capital needs in day-to-day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Supplementary notes to this Certificate are set out below:</w:t>
      </w:r>
    </w:p>
    <w:p>
      <w:pPr>
        <w:spacing w:after="0" w:line="223" w:lineRule="exact"/>
        <w:rPr>
          <w:sz w:val="20"/>
          <w:szCs w:val="20"/>
          <w:color w:val="auto"/>
        </w:rPr>
      </w:pPr>
    </w:p>
    <w:p>
      <w:pPr>
        <w:ind w:firstLine="332"/>
        <w:spacing w:after="0" w:line="284" w:lineRule="auto"/>
        <w:tabs>
          <w:tab w:leader="none" w:pos="5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under this Certificate shall comply with applicable laws and regulations such as the </w:t>
      </w:r>
      <w:r>
        <w:rPr>
          <w:rFonts w:ascii="Times New Roman" w:cs="Times New Roman" w:eastAsia="Times New Roman" w:hAnsi="Times New Roman"/>
          <w:sz w:val="18"/>
          <w:szCs w:val="18"/>
          <w:i w:val="1"/>
          <w:iCs w:val="1"/>
          <w:color w:val="auto"/>
        </w:rPr>
        <w:t>Commercial Bank Law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Civil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General Rules on Loans</w:t>
      </w:r>
      <w:r>
        <w:rPr>
          <w:rFonts w:ascii="Times New Roman" w:cs="Times New Roman" w:eastAsia="Times New Roman" w:hAnsi="Times New Roman"/>
          <w:sz w:val="18"/>
          <w:szCs w:val="18"/>
          <w:color w:val="auto"/>
        </w:rPr>
        <w:t>, as well as the Bank’s relevant rules.</w:t>
      </w:r>
    </w:p>
    <w:p>
      <w:pPr>
        <w:spacing w:after="0" w:line="160" w:lineRule="exact"/>
        <w:rPr>
          <w:rFonts w:ascii="Times New Roman" w:cs="Times New Roman" w:eastAsia="Times New Roman" w:hAnsi="Times New Roman"/>
          <w:sz w:val="18"/>
          <w:szCs w:val="18"/>
          <w:color w:val="auto"/>
        </w:rPr>
      </w:pPr>
    </w:p>
    <w:p>
      <w:pPr>
        <w:ind w:firstLine="332"/>
        <w:spacing w:after="0" w:line="282" w:lineRule="auto"/>
        <w:tabs>
          <w:tab w:leader="none" w:pos="53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shall not be transferred to others, nor be used as a supporting document for security, financing or disguised financing.</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1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only a certificate of the general credit line, and does not represent any specific business commitments, and the relevant business under the credit line is subject to the necessary approval by the Bank. The credit line does not constitute a firm commitment to loan disbursement by the Bank, and the Bank reserves the right to terminate the credit line at any time. The specific loan disbursement operations shall be subject to the Bank’s requirements and policies on credit facilities, and both parties’ rights and obligations shall be subject to the specific contract.</w:t>
      </w:r>
    </w:p>
    <w:p>
      <w:pPr>
        <w:spacing w:after="0" w:line="18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/s/ Seal of Bank of Ningbo Co., Ltd. Shenzhen Branch</w:t>
      </w:r>
    </w:p>
    <w:p>
      <w:pPr>
        <w:spacing w:after="0" w:line="27"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/s/ Seal of person in charge</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Person in charge (Signature &amp; Seal):</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April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5621020</wp:posOffset>
            </wp:positionH>
            <wp:positionV relativeFrom="paragraph">
              <wp:posOffset>173990</wp:posOffset>
            </wp:positionV>
            <wp:extent cx="728345" cy="7112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72834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5" w:lineRule="exact"/>
        <w:rPr>
          <w:sz w:val="20"/>
          <w:szCs w:val="20"/>
          <w:color w:val="auto"/>
        </w:rPr>
      </w:pPr>
    </w:p>
    <w:p>
      <w:pPr>
        <w:jc w:val="both"/>
        <w:ind w:lef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Dear customer, to protect your rights and interests, please read this Contract carefully before signing, especially the terms in boldface. In case of any doubt, please promptly ask for our clarification. If you still have questions or doubts, please consult your attorney and relevant professionals.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Credit Agreement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(Applicable to working capital loan not requiring a separate loan contract)</w:t>
      </w:r>
    </w:p>
    <w:p>
      <w:pPr>
        <w:spacing w:after="0" w:line="1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u w:val="single" w:color="auto"/>
          <w:color w:val="auto"/>
        </w:rPr>
        <w:t>755XY250701T000033</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Credit Provider: </w:t>
      </w:r>
      <w:r>
        <w:rPr>
          <w:rFonts w:ascii="Times New Roman" w:cs="Times New Roman" w:eastAsia="Times New Roman" w:hAnsi="Times New Roman"/>
          <w:sz w:val="18"/>
          <w:szCs w:val="18"/>
          <w:b w:val="1"/>
          <w:bCs w:val="1"/>
          <w:u w:val="single" w:color="auto"/>
          <w:color w:val="auto"/>
        </w:rPr>
        <w:t>China Merchants Bank Shenzhen Branch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“Party A”)</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Credit Applicant: </w:t>
      </w:r>
      <w:r>
        <w:rPr>
          <w:rFonts w:ascii="Times New Roman" w:cs="Times New Roman" w:eastAsia="Times New Roman" w:hAnsi="Times New Roman"/>
          <w:sz w:val="18"/>
          <w:szCs w:val="18"/>
          <w:u w:val="single" w:color="auto"/>
          <w:color w:val="auto"/>
        </w:rPr>
        <w:t>Shenzhen Xunlei Network Technology Co.,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“Party B”)</w:t>
      </w:r>
    </w:p>
    <w:p>
      <w:pPr>
        <w:spacing w:after="0" w:line="202" w:lineRule="exact"/>
        <w:rPr>
          <w:sz w:val="20"/>
          <w:szCs w:val="20"/>
          <w:color w:val="auto"/>
        </w:rPr>
      </w:pPr>
    </w:p>
    <w:p>
      <w:pPr>
        <w:jc w:val="both"/>
        <w:ind w:left="40" w:firstLine="324"/>
        <w:spacing w:after="0" w:line="266" w:lineRule="auto"/>
        <w:rPr>
          <w:sz w:val="20"/>
          <w:szCs w:val="20"/>
          <w:color w:val="auto"/>
        </w:rPr>
      </w:pPr>
      <w:r>
        <w:rPr>
          <w:rFonts w:ascii="Times New Roman" w:cs="Times New Roman" w:eastAsia="Times New Roman" w:hAnsi="Times New Roman"/>
          <w:sz w:val="18"/>
          <w:szCs w:val="18"/>
          <w:color w:val="auto"/>
        </w:rPr>
        <w:t>Upon Party B’s application, Party A hereby agrees to provide a credit line for Party B. Now therefore, in accordance with applicable laws and regulations, Party A and Party B (hereinafter “the Parties”), through adequate negotiation, hereby make and enter into this Credit Agreement (hereinafter “this Agreement”), subject to the following terms and conditions.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Credit Line</w:t>
      </w:r>
    </w:p>
    <w:p>
      <w:pPr>
        <w:spacing w:after="0" w:line="185" w:lineRule="exact"/>
        <w:rPr>
          <w:sz w:val="20"/>
          <w:szCs w:val="20"/>
          <w:color w:val="auto"/>
        </w:rPr>
      </w:pPr>
    </w:p>
    <w:p>
      <w:pPr>
        <w:jc w:val="both"/>
        <w:ind w:lef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1.1 Under this Agreement, Party A will extend a credit line </w:t>
      </w:r>
      <w:r>
        <w:rPr>
          <w:rFonts w:ascii="Times New Roman" w:cs="Times New Roman" w:eastAsia="Times New Roman" w:hAnsi="Times New Roman"/>
          <w:sz w:val="18"/>
          <w:szCs w:val="18"/>
          <w:u w:val="single" w:color="auto"/>
          <w:color w:val="auto"/>
        </w:rPr>
        <w:t>of One Hundred Million RMB</w:t>
      </w:r>
      <w:r>
        <w:rPr>
          <w:rFonts w:ascii="Times New Roman" w:cs="Times New Roman" w:eastAsia="Times New Roman" w:hAnsi="Times New Roman"/>
          <w:sz w:val="18"/>
          <w:szCs w:val="18"/>
          <w:color w:val="auto"/>
        </w:rPr>
        <w:t xml:space="preserve"> (including revolving credit line and/or one-time credit line) (hereinafter “the Credit Line”). Party B may apply for specific business in other currencies within the credit line (the exchange rate shall be converted based on the foreign exchange quotation published by Party A at the time when business occurs).</w:t>
      </w:r>
    </w:p>
    <w:p>
      <w:pPr>
        <w:spacing w:after="0" w:line="141" w:lineRule="exact"/>
        <w:rPr>
          <w:sz w:val="20"/>
          <w:szCs w:val="20"/>
          <w:color w:val="auto"/>
        </w:rPr>
      </w:pPr>
    </w:p>
    <w:p>
      <w:pPr>
        <w:jc w:val="both"/>
        <w:ind w:left="40" w:firstLine="324"/>
        <w:spacing w:after="0" w:line="264" w:lineRule="auto"/>
        <w:rPr>
          <w:sz w:val="20"/>
          <w:szCs w:val="20"/>
          <w:color w:val="auto"/>
        </w:rPr>
      </w:pPr>
      <w:r>
        <w:rPr>
          <w:rFonts w:ascii="Times New Roman" w:cs="Times New Roman" w:eastAsia="Times New Roman" w:hAnsi="Times New Roman"/>
          <w:sz w:val="18"/>
          <w:szCs w:val="18"/>
          <w:color w:val="auto"/>
        </w:rPr>
        <w:t xml:space="preserve">If there is an outstanding balance of any credit services under the previous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u w:val="single" w:color="auto"/>
          <w:color w:val="auto"/>
        </w:rPr>
        <w:t>755XY2024016972</w:t>
      </w:r>
      <w:r>
        <w:rPr>
          <w:rFonts w:ascii="Times New Roman" w:cs="Times New Roman" w:eastAsia="Times New Roman" w:hAnsi="Times New Roman"/>
          <w:sz w:val="18"/>
          <w:szCs w:val="18"/>
          <w:color w:val="auto"/>
        </w:rPr>
        <w:t>, this is applicable to the situation in which a loan for working capital does not necessitate a separate loan agreement.) (insert the name of the agreement here) between Party A (or its affiliate) and Party B, it shall be automatically included under this Agreement and directly occupy the Credit Line under this Agreement.</w:t>
      </w:r>
    </w:p>
    <w:p>
      <w:pPr>
        <w:spacing w:after="0" w:line="133" w:lineRule="exact"/>
        <w:rPr>
          <w:sz w:val="20"/>
          <w:szCs w:val="20"/>
          <w:color w:val="auto"/>
        </w:rPr>
      </w:pPr>
    </w:p>
    <w:p>
      <w:pPr>
        <w:jc w:val="both"/>
        <w:ind w:left="40" w:firstLine="324"/>
        <w:spacing w:after="0" w:line="262" w:lineRule="auto"/>
        <w:rPr>
          <w:sz w:val="20"/>
          <w:szCs w:val="20"/>
          <w:color w:val="auto"/>
        </w:rPr>
      </w:pPr>
      <w:r>
        <w:rPr>
          <w:rFonts w:ascii="Times New Roman" w:cs="Times New Roman" w:eastAsia="Times New Roman" w:hAnsi="Times New Roman"/>
          <w:sz w:val="18"/>
          <w:szCs w:val="18"/>
          <w:color w:val="auto"/>
        </w:rPr>
        <w:t xml:space="preserve">1.2 The Credit Extending Period is </w:t>
      </w:r>
      <w:r>
        <w:rPr>
          <w:rFonts w:ascii="Times New Roman" w:cs="Times New Roman" w:eastAsia="Times New Roman" w:hAnsi="Times New Roman"/>
          <w:sz w:val="18"/>
          <w:szCs w:val="18"/>
          <w:u w:val="single" w:color="auto"/>
          <w:color w:val="auto"/>
        </w:rPr>
        <w:t>12 months</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u w:val="single" w:color="auto"/>
          <w:color w:val="auto"/>
        </w:rPr>
        <w:t>August 1, 2025</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July 31,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Party B needs to use the Credit Line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handle the specific credit services, Party B shall submit an application for the utilization of the Credit Line to Party A within this period, and Party A shall not accept Party B’s application for the utilization of the credit limit beyond the expiry date of the Credit Extending Period, except as otherwise stipulated in this Agreement.</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1.3 Credit products and services offered under the Credit Line include without limitation one or more credit products or services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loan/order loan, trade financing, bills discount, commercial bills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40" w:top="117" w:right="999" w:bottom="1440" w:gutter="0" w:footer="0" w:header="0"/>
        </w:sectPr>
      </w:pPr>
    </w:p>
    <w:bookmarkStart w:id="265" w:name="page266"/>
    <w:bookmarkEnd w:id="2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acceptance, commercial acceptance bills confirmation/ reimbursement, international/domestic guarantee, customs payment guarantee, legal-person account overdraft, derivative transaction, gold lease, etc. (hereinafter “Credit Services”).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“Trade financing” includes without limitation such service types as international/domestic letter of credit, import bill advance, delivery guarantee, advance against import documentary collection, packing finance, export bill advance, export negotiation, advance against export documentary collection, import/export remittance financing, credit insurance financing, factoring, commercial paper guarantee, etc.</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1.4 Revolving credit line is the maximum balance sum of principals of one or more foregoing Credit Services offered by Party A to Party B during the Credit Extending Period, which can be used by Party B on a continuous and revolving basis.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One-time credit line is the one-time credit line approved by Party A which the cumulative amount of all foregoing Credit Products offered by Party A to Party B cannot exceed. Party B shall not the one-time credit line on a revolving basis, and the corresponding amounts of several credit services utilized by Party B shall occupy the one-time credit line until the cumulative amount is used up.</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Credit Line Occupation Arrangements</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2.1 The specific credit services applied by Party B and approved by Party A during the Credit Extending Period shall be automatically included under this Agreement and occupy the Credit Line under this Agreement.</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2.2 If Party A provides import factoring with Party B as the payer, the accounts receivable debt against Party B that Party A has acquired from a third party under the service or the debt it holds based on the debt instrument/payment commitment issued by Party B will occupy the foregoing Credit Line; </w:t>
      </w:r>
      <w:r>
        <w:rPr>
          <w:rFonts w:ascii="Times New Roman" w:cs="Times New Roman" w:eastAsia="Times New Roman" w:hAnsi="Times New Roman"/>
          <w:sz w:val="18"/>
          <w:szCs w:val="18"/>
          <w:color w:val="auto"/>
        </w:rPr>
        <w:t>if Party B applies for the provision of domestic seller factoring or export factoring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from Party A with Party B as payee (accounts receivable creditor / creditor under the debt instrument or payment commitment), the payment made by Party A with its own funds or other funds of lawful sources to Party B for the accounts receivable debt or acquisition/purchase payment of creditor under the debt instrument or payment commitment held by Party B will occupy the foregoing Credit Line.</w:t>
      </w:r>
    </w:p>
    <w:p>
      <w:pPr>
        <w:spacing w:after="0" w:line="14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2.3 If Party A entrusts other branches of China Merchants Bank to issue back-to-back letter of credit to the beneficiary according to its internal procedures after issuing the letter of credit, such letters of credit and documentary credits and delivery guarantees arising thereunder will occupy amounts of the Credit Line.</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import letter of credit service, if any subsequent import bill advance is made under the same letter of credit, the letter of credit and import bill advance will occupy the same amount of the Credit Line at different stage. That is to say, when an import bill advance is made, amount recovered after payment by the letter of credit will be reused to make import bill advance, and will be deemed to occupy the same amount as the original import letter of credit.</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2.4 Party B applies to Party A for the issuance of a guarantee in which a third party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6" w:name="page267"/>
    <w:bookmarkEnd w:id="266"/>
    <w:p>
      <w:pPr>
        <w:jc w:val="both"/>
        <w:spacing w:after="0" w:line="266" w:lineRule="auto"/>
        <w:rPr>
          <w:sz w:val="20"/>
          <w:szCs w:val="20"/>
          <w:color w:val="auto"/>
        </w:rPr>
      </w:pPr>
      <w:r>
        <w:rPr>
          <w:rFonts w:ascii="Times New Roman" w:cs="Times New Roman" w:eastAsia="Times New Roman" w:hAnsi="Times New Roman"/>
          <w:sz w:val="18"/>
          <w:szCs w:val="18"/>
          <w:color w:val="auto"/>
        </w:rPr>
        <w:t>guaranteed party. This will occupy the foregoing Credit Line. Meanwhile, Party B acknowledges that it assumes primary repayment responsibility for the principal balance of advances made by Party A in fulfilling compensation obligations under the guarantee, as well as for interest, penalty interest, compound interest, liquidated damages, and late performance fees.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Approval and Utilization of Credit Line</w:t>
      </w:r>
    </w:p>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3.1 The type of Credit Line hereunder (revolving credit line or one-time credit line) and applicable types of Credit Services, credit amounts extended for different types of Credit Services, whether different types of Credit Services can be swapped, and specific conditions for utilizing the Credit Line are subject to approval of Party A. If Party A makes any adjustment to its original approval according to Party B’s application during the Credit Extending Period, any subsequent approvals issued by Party A will constitute supplements and modifications to the original approval, and so on.</w:t>
      </w:r>
    </w:p>
    <w:p>
      <w:pPr>
        <w:spacing w:after="0" w:line="13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3.2 Party B shall apply for utilization of the Credit Line one by one by submitting the required documentation to Party A, and the credit service shall be carried out on a case-by-case basis only upon approval. Party A shall have the right to decide whether to approve each application based on its internal management requirements, Party B’s operation status and other relevant conditions, and may reject Party B’s application at its sole discretion without assuming any legal liability to Party B. Where there is any inconsistency between this provision with any other provisions hereof, this provision shall prevail.</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3.3 When a specific credit service is carried out upon approval of Party A, the specific texts signed by Party A and Party B on the specific credit service (including but not limited to single-transaction agreement/application, framework agreement, or specific business contract) shall constitute an integral part of the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amount, interest rate, term, purpose, fee and other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elements of each loan or other credit services will be subject to separate service agreements, transaction vouchers (including but not limited to drawdown application, certificate of indebtedness (if any)) confirmed by Party A and the transaction records in Party A’s system. </w:t>
      </w:r>
      <w:r>
        <w:rPr>
          <w:rFonts w:ascii="Times New Roman" w:cs="Times New Roman" w:eastAsia="Times New Roman" w:hAnsi="Times New Roman"/>
          <w:sz w:val="18"/>
          <w:szCs w:val="18"/>
          <w:color w:val="auto"/>
        </w:rPr>
        <w:t>The interest rate hereunder shall be calculated by simple interest, unless otherwise specified by separate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transaction vouchers (including without limitation certificate of indebtedness) confirmed by Party A and the transaction records in Party A’s system.</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If Party B applies for a working capital loan within the credit line, Party A and Party B shall not sign the </w:t>
      </w:r>
      <w:r>
        <w:rPr>
          <w:rFonts w:ascii="Times New Roman" w:cs="Times New Roman" w:eastAsia="Times New Roman" w:hAnsi="Times New Roman"/>
          <w:sz w:val="18"/>
          <w:szCs w:val="18"/>
          <w:i w:val="1"/>
          <w:iCs w:val="1"/>
          <w:color w:val="auto"/>
        </w:rPr>
        <w:t>Loan Contract</w:t>
      </w:r>
      <w:r>
        <w:rPr>
          <w:rFonts w:ascii="Times New Roman" w:cs="Times New Roman" w:eastAsia="Times New Roman" w:hAnsi="Times New Roman"/>
          <w:sz w:val="18"/>
          <w:szCs w:val="18"/>
          <w:color w:val="auto"/>
        </w:rPr>
        <w:t xml:space="preserve"> separately.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shall submit an application for each drawdown, and Party A shall review and approve the same one by one.</w:t>
      </w:r>
    </w:p>
    <w:p>
      <w:pPr>
        <w:spacing w:after="0" w:line="16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3.4 Party A shall have the right to regularly or irregularly adjust the benchmark interest rate or interest rate pricing method for loan/other credit services under this Agreement in line with changes in relevant national policies, domestic and overseas market conditions, or its credit policy. Such adjustment shall take effect after Party A notifies Party B (by announcement published at Party A’s banking outlet or on the official website of China Merchants Bank, or notice served to Party B at any contact address/method reserved in this Agreement;) if Party B does not accept the adjustment, it shall make early repayment, otherwise it shall be deemed to be acceptance of such adjustment.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7" w:name="page268"/>
    <w:bookmarkEnd w:id="267"/>
    <w:p>
      <w:pPr>
        <w:ind w:left="340"/>
        <w:spacing w:after="0"/>
        <w:rPr>
          <w:sz w:val="20"/>
          <w:szCs w:val="20"/>
          <w:color w:val="auto"/>
        </w:rPr>
      </w:pPr>
      <w:r>
        <w:rPr>
          <w:rFonts w:ascii="Times New Roman" w:cs="Times New Roman" w:eastAsia="Times New Roman" w:hAnsi="Times New Roman"/>
          <w:sz w:val="18"/>
          <w:szCs w:val="18"/>
          <w:b w:val="1"/>
          <w:bCs w:val="1"/>
          <w:color w:val="auto"/>
        </w:rPr>
        <w:t>Where there is any inconsistency between this provision with any other provisions hereof, this provision shall prevail.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3.5 Duration of each loan or other credits within the scope of the Credit Line shall be determined according to Party B’s business need and Party A’s business management rules; the expiration date of each specific service may be later than that of the Credit Extending Period (unless otherwise required by Party A).</w:t>
      </w:r>
    </w:p>
    <w:p>
      <w:pPr>
        <w:spacing w:after="0" w:line="14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3.6 During the Credit Extending Period, Party A shall have the right to assess Party B’s operating and financial status on an annual basis, and adjust the usable credit line of Party B based on the assessment result.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 Interest Rate on Working Capital Loan</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4.1 The interest rate of any loan hereunder shall be specified by Party B in the corresponding drawdown application and determined upon approval by Party A. If the drawdown application is inconsistent with the certificate of indebtedness (if any) for the loan or the relevant records in Party A’s system, the certificate of indebtedness (if any) or the relevant records in Party A’s system shall prevail.</w:t>
      </w:r>
    </w:p>
    <w:p>
      <w:pPr>
        <w:spacing w:after="0" w:line="1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4.2 If Party B fails to utilize any loan as agreed herein, Party B will be charged a penalty interest with regard to the portion not used for the agreed purpose, from the date of such failure, at the original interest rate plus </w:t>
      </w:r>
      <w:r>
        <w:rPr>
          <w:rFonts w:ascii="Times New Roman" w:cs="Times New Roman" w:eastAsia="Times New Roman" w:hAnsi="Times New Roman"/>
          <w:sz w:val="18"/>
          <w:szCs w:val="18"/>
          <w:u w:val="single" w:color="auto"/>
          <w:color w:val="auto"/>
        </w:rPr>
        <w:t>100</w:t>
      </w:r>
      <w:r>
        <w:rPr>
          <w:rFonts w:ascii="Times New Roman" w:cs="Times New Roman" w:eastAsia="Times New Roman" w:hAnsi="Times New Roman"/>
          <w:sz w:val="18"/>
          <w:szCs w:val="18"/>
          <w:color w:val="auto"/>
        </w:rPr>
        <w:t>%. The original interest rate shall refer to the interest rate applicable prior to the use of the loan for the purpose not agreed upon.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Party B fails to repay the loan on time, it will be charged overdue interest (penalty interest) at the original interest rate plus 50% (overdue loan interest rate) with regard to the overdue portion from the date of becoming overdue. The original interest rate shall refer to the interest rate applicable before the maturity date of the loan (including early maturity date), or prior to the last floating period before the maturity date (including early maturity date) in case of a floating interest rate.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overdue loan is used for the purpose not agreed upon, the higher interest rate as set forth above shall be used to calculate the interest.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4.3 During the loan period, any adjustment to the loan interest rate made by the People’s Bank of China shall be observed.</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4.4 If the loan maturity date is a public holiday, it shall be extended automatically to the first business day after the holiday. And the interest shall be calculated based on the number of days that the loan proceeds have been actually used.</w:t>
      </w:r>
    </w:p>
    <w:p>
      <w:pPr>
        <w:spacing w:after="0" w:line="11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4.5 Party B shall pay the interest on each interest date, and Party A may debit the interest payable directly from any account of Party B with China Merchants Bank. If the last repayment date of loan principal is not an interest date, the last repayment date shall become an interest payment date, and the Borrower shall pay up the interest payable on the loan principal on that date. If Party B fails to pay any interest on time, compound interest at overdue interest rate set forth in this provision shall be imposed in respect of the unpaid interest (including penalty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8" w:name="page269"/>
    <w:bookmarkEnd w:id="268"/>
    <w:p>
      <w:pPr>
        <w:ind w:left="340"/>
        <w:spacing w:after="0"/>
        <w:rPr>
          <w:sz w:val="20"/>
          <w:szCs w:val="20"/>
          <w:color w:val="auto"/>
        </w:rPr>
      </w:pPr>
      <w:r>
        <w:rPr>
          <w:rFonts w:ascii="Times New Roman" w:cs="Times New Roman" w:eastAsia="Times New Roman" w:hAnsi="Times New Roman"/>
          <w:sz w:val="18"/>
          <w:szCs w:val="18"/>
          <w:color w:val="auto"/>
        </w:rPr>
        <w:t>5. Guarantee Clause</w:t>
      </w:r>
    </w:p>
    <w:p>
      <w:pPr>
        <w:spacing w:after="0" w:line="18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5.1 For any debts owed by Party B to Party A under this Agreement, Party B or a third party recognized by Party A shall provide collateral (pledge) guarantee or joint guarantee, and Party B or the third party as guarantor shall issue or sign a separate guarantee agreement as required by Party A.</w:t>
      </w:r>
    </w:p>
    <w:p>
      <w:pPr>
        <w:spacing w:after="0" w:line="1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5.2 Party A shall have the right to refuse to provide credit facility to Party B if the guarantor fails to sign the guarantee agreement and complete the guarantee provision procedures in accordance with the provisions of this Article (including the case that the accounts receivable debtor raises an objection to the accounts receivable before pledge).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5.3 When the mortgagor provides real estate mortgage as security for Party B’s debts to Party A hereunder, if Party B is aware that the mortgaged assets are already or likely to be included in the government’s demolition and expropriation plan, it shall inform Party A promptly and urge the mortgagor to renew security for Party B’s debts with the compensation offered by the demolition party and go through corresponding security procedures as per provisions of the mortgage contract, or provide other security measures acceptable to Party as per Party A’s requirements.</w:t>
      </w:r>
    </w:p>
    <w:p>
      <w:pPr>
        <w:spacing w:after="0" w:line="143" w:lineRule="exact"/>
        <w:rPr>
          <w:sz w:val="20"/>
          <w:szCs w:val="20"/>
          <w:color w:val="auto"/>
        </w:rPr>
      </w:pPr>
    </w:p>
    <w:p>
      <w:pPr>
        <w:ind w:left="520" w:hanging="188"/>
        <w:spacing w:after="0"/>
        <w:tabs>
          <w:tab w:leader="none" w:pos="5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Obligations of Party B</w:t>
      </w:r>
    </w:p>
    <w:p>
      <w:pPr>
        <w:spacing w:after="0" w:line="19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Party B shall have the rights to:</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6.1.1 Require Party A to provide loans or other credits within the scope of the Credit Line in accordance with the terms and conditions hereof;</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6.1.2 Make use of the Credit Line in accordance with the terms and conditions hereof;</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6.1.3 Require Party A to maintain confidentiality for information provided by Party B regarding Party B’s production, operation, properties, accounts and other aspects, unless otherwise required by this Agreement;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6.1.4 Transfer its debts to a third party with Party A’s written consent.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 Party B shall be obligated to:</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6.2.1 Provide authentic documents required by Party A (including but not limited to, on the frequency required by Party A, provide authentic financial books/statements and annual financial reports, important decisions and changes in production, operation and management, money drawdown/utilization information, information on collateral, etc.), information on Party B’s financing from other financial institutions and non-financial institutions (including the financing that Party B has obtained and is applying for at the time of execution of this Agreement), and information regarding all banks of deposit, account numbers and deposit &amp; loan balances; ensure the authenticity, accuracy and integrity of all the document provided, and cooperate with Party A’s investigation, review and inspection;</w:t>
      </w:r>
    </w:p>
    <w:p>
      <w:pPr>
        <w:spacing w:after="0" w:line="14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6.2.2 Accept Party A’s inspection on its utilization of credit facility proceeds and related production, operation and financial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6.2.3 Make use of the loans and/or other credits in accordance with provisions of this Agreement and separate agreements and/or the committed purposes;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9" w:name="page270"/>
    <w:bookmarkEnd w:id="26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6.2.4 Repay on time principals, interests and fees of loans, advances and other credits in accordance with provisions of this Agreement and separate agreements;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6.2.5 Obtain Party A’s written consent before transferring debts hereunder to any third party in whole or in part;</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6.2.6 Inform Party A promptly and actively coordinate with Party A in arranging for measures to secure repayment of principals, interests and fees of all loans, advances and other credits hereunder under any condition as follows: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6.2.6.1 Material financial loss, loss of assets or other financial crisis has occurred;</w:t>
      </w:r>
    </w:p>
    <w:p>
      <w:pPr>
        <w:spacing w:after="0" w:line="18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6.2.6.2 Party B provides a loan or guarantee for the benefit or protection of a third party against loss, or provides mortgage (pledge) with its own property (right);</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6.2.6.3 Suspension of business, revocation or deregistration of business license, filing or being filed for bankruptcy or dissolution, etc.; or change in key enterprise information, such as enterprise name, registered address, business address, and beneficial owner; Any change occurs to the Borrower’s controlling shareholder/de facto controller; or Party B’s legal representative/principal person-in-charge, director or key senior manager is changed, or is punished/restricted by the competent State authority for violating the law, discipline, etc., or goes missing for more than seven days, which may affect its normal operations;</w:t>
      </w:r>
    </w:p>
    <w:p>
      <w:pPr>
        <w:spacing w:after="0" w:line="14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6.2.6.4 Its controlling shareholder or other related company and de facto controller suffers a significant operating or financial crisis, which affects its normal operations; or </w:t>
      </w:r>
      <w:r>
        <w:rPr>
          <w:rFonts w:ascii="Times New Roman" w:cs="Times New Roman" w:eastAsia="Times New Roman" w:hAnsi="Times New Roman"/>
          <w:sz w:val="18"/>
          <w:szCs w:val="18"/>
          <w:b w:val="1"/>
          <w:bCs w:val="1"/>
          <w:color w:val="auto"/>
        </w:rPr>
        <w:t>its controlling shareholder/de facto controller abuses the independent legal person status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limited liability of shareholder, evades debt, suspends operation, goes out of business, gets business license revoked, files or is filed for bankruptcy or dissolution, is punished by competent authority, commits a crime, or is involved in a significant legal dispute; or its legal representative or legal representative/principal person-in-charge, director or key senior manager of its controlling shareholder or other related company and de facto controller, is changed, or is punished/restricted by the competent State authority of for violating the law, discipline, etc., or goes missing for more than seven days, which may affect its normal operations.</w:t>
      </w:r>
    </w:p>
    <w:p>
      <w:pPr>
        <w:spacing w:after="0" w:line="14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6.2.6.5 The amount of the related party transaction with its controlling shareholder and/or other related companies or de facto controller reaches more than 10% of the net assets of Party B (Party B’s notice shall at least cover the relationship between the Parties to the transaction, the transaction item and nature, the transaction amount or the corresponding proportion, pricing policy (including transaction with no amount or only symbolic amount), etc.);</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6.2.6.6 Any litigation, arbitration or criminal/administrative penalty has been brought by or against it, causing material negative effect on its operation or financial status;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6.2.6.7 Party B or its de facto controller is burdened with a large amount of lending with usurious interest rate; or has bad records such as re-extension, delinquency and interest payment default in other financial institutions; or Party B’s related enterprise suffers a debt crisis due to disruption of capital chain; </w:t>
      </w:r>
      <w:r>
        <w:rPr>
          <w:rFonts w:ascii="Times New Roman" w:cs="Times New Roman" w:eastAsia="Times New Roman" w:hAnsi="Times New Roman"/>
          <w:sz w:val="18"/>
          <w:szCs w:val="18"/>
          <w:b w:val="1"/>
          <w:bCs w:val="1"/>
          <w:color w:val="auto"/>
        </w:rPr>
        <w:t>or Party B, its key stakeholders, or its subsidiaries are subject to the risk of money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0" w:name="page271"/>
    <w:bookmarkEnd w:id="27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laundering, terrorist financing, or sanctions violations, or there is a possibility that Party A may be exposed to compliance risks related to money laundering, terrorist financing, or sanctions violations; </w:t>
      </w:r>
      <w:r>
        <w:rPr>
          <w:rFonts w:ascii="Times New Roman" w:cs="Times New Roman" w:eastAsia="Times New Roman" w:hAnsi="Times New Roman"/>
          <w:sz w:val="18"/>
          <w:szCs w:val="18"/>
          <w:color w:val="auto"/>
        </w:rPr>
        <w:t>or Party B’s project is halted or suspended or involves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investment mistake;</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6.2.6.8 Any other significant matter occurs that may affect the solvency of Party B and/or its controlling shareholder/de facto controller.</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6.2.7 Party B shall not be slack in managing or claiming its mature debts or dispose of its existing major properties without compensation or by other improper means.</w:t>
      </w:r>
    </w:p>
    <w:p>
      <w:pPr>
        <w:spacing w:after="0" w:line="11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6.2.8 Party B must obtain Party A’s prior written consent before engaging in consolidation (merger), separation, restructuring, equity joint venture (cooperative joint venture), transfer of property rights or equity, reforming its shareholding system, overseas investment, increasing debt financing, etc.</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6.2.9 In the case of dynamic pledge of accounts receivable, Party B shall guarantee that the credit balance at any time point during the Credit Extending Period is lower than 70% of the balance of the pledged accounts receivable, otherwise, it must provide new accounts receivable acceptable to Party A as pledge or margin (the margin account number is account number deposit automatically generated or recorded by Party A’s system at the time of deposit of the margin, the same as below), until the balance of the pledged accounts receivable ×</w:t>
      </w:r>
      <w:r>
        <w:rPr>
          <w:rFonts w:ascii="Times New Roman" w:cs="Times New Roman" w:eastAsia="Times New Roman" w:hAnsi="Times New Roman"/>
          <w:sz w:val="18"/>
          <w:szCs w:val="18"/>
          <w:u w:val="single" w:color="auto"/>
          <w:color w:val="auto"/>
        </w:rPr>
        <w:t>70</w:t>
      </w:r>
      <w:r>
        <w:rPr>
          <w:rFonts w:ascii="Times New Roman" w:cs="Times New Roman" w:eastAsia="Times New Roman" w:hAnsi="Times New Roman"/>
          <w:sz w:val="18"/>
          <w:szCs w:val="18"/>
          <w:color w:val="auto"/>
        </w:rPr>
        <w:t>% + valid bond &gt; credit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-445770</wp:posOffset>
            </wp:positionV>
            <wp:extent cx="1600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6.2.10 In the case of bond pledge, if fluctuation in exchange rate results in the balance of the bond account being lower than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of the amount of the corresponding credit service, Party B (or other third party) shall have the obligation to provide additional amount of bond or other guarantee as required by Party A.</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Where the currency of the limit is inconsistent with the currency of a specific business before the specific business is settled, Party B is obliged to make additional margin or other securities as required by Party A if, due to exchange rate fluctuations, the amount of the specific business in the currency of the limit converted at the latest exchange rate published by Party A exceeds the amount converted when the business actually occurs, resulting in the total amount of the specific business actually occurred hereunder exceeding the total credit limit.</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6.2.11 Party B shall guarantee that payments for goods under import shall be collected into the account designated by Party A; under export negotiation, shall transfer bills and/or documents under the letter of credit to Party A.</w:t>
      </w:r>
    </w:p>
    <w:p>
      <w:pPr>
        <w:spacing w:after="0" w:line="13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6.2.12 Party B shall guarantee that settlement, payment and other receipt and payment activities are primarily carried out in its bank settlement account with Party A. During the Credit Extending Period, Party B’s share of settlement transactions in the designated account shall be, at a minimum, Party B’s share of Party A’s financing in all banks.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 Rights and Obligations of Party A</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 Party A shall have the following rights to:</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7.1.1 Require Party B to fully repay on time principals and interests of all loans, advances and credit debts under this Agreement and separate agreements;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1" w:name="page272"/>
    <w:bookmarkEnd w:id="271"/>
    <w:p>
      <w:pPr>
        <w:ind w:left="340"/>
        <w:spacing w:after="0"/>
        <w:rPr>
          <w:sz w:val="20"/>
          <w:szCs w:val="20"/>
          <w:color w:val="auto"/>
        </w:rPr>
      </w:pPr>
      <w:r>
        <w:rPr>
          <w:rFonts w:ascii="Times New Roman" w:cs="Times New Roman" w:eastAsia="Times New Roman" w:hAnsi="Times New Roman"/>
          <w:sz w:val="18"/>
          <w:szCs w:val="18"/>
          <w:color w:val="auto"/>
        </w:rPr>
        <w:t>7.1.2 Require Party B to provide documents and information related to its utilization of the Credit 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7.1.3 Ask for information about Party B’s production, operation and financial activities;</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7.1.4 Supervise that Party B is utilizing loans and/or other credits for the purposes agreed upon in this Agreement and separate agreements; </w:t>
      </w:r>
      <w:r>
        <w:rPr>
          <w:rFonts w:ascii="Times New Roman" w:cs="Times New Roman" w:eastAsia="Times New Roman" w:hAnsi="Times New Roman"/>
          <w:sz w:val="18"/>
          <w:szCs w:val="18"/>
          <w:b w:val="1"/>
          <w:bCs w:val="1"/>
          <w:color w:val="auto"/>
        </w:rPr>
        <w:t>when it is required by its business, unilaterally suspend or restrict the corporate online banking/corporate APP/other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online function of Party B’s account (including but not limited to closing online banking/corporate APP/other online function, presetting list of payees/single payment limit/phase payment limit, and other restrictions) and other electronic payment channels, restrict sale of settlement vouchers, or restrict payment or transfer at the counter, telephone banking, mobile banking and other non-counter payment and exchange functions of Party B’s account;</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7.1.5 Authorize other branches of China Merchants Bank in the place where the beneficiary is located to issue letter of credit to the beneficiary according to its internal procedures.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7.1.6 Debit amounts from any account of Party B at any outlet of China Merchants Bank for repayment of Party B’s debts under this Agreement and separate agreements (if credit debts are not denominated in RMB, to purchase or trade foreign exchange from Party B’s any account at the exchange rate published by Party A at the time of debiting to repay principals, interests and fees of the credit debts);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7.1.7 Transfer its claims against Party B, and inform Party B about the transfer and collect from Party B by appropriate means at its sole discretion, including but not limited to fax, mailing, personal service, </w:t>
      </w:r>
      <w:r>
        <w:rPr>
          <w:rFonts w:ascii="Times New Roman" w:cs="Times New Roman" w:eastAsia="Times New Roman" w:hAnsi="Times New Roman"/>
          <w:sz w:val="18"/>
          <w:szCs w:val="18"/>
          <w:b w:val="1"/>
          <w:bCs w:val="1"/>
          <w:color w:val="auto"/>
        </w:rPr>
        <w:t>announcement on the public media, etc.;</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7.1.8 Monitor and entrust other China Merchants Bank outlets to monitor Party B’s accounts, and control payment of loan proceeds according to the loan purposes and payment scope agreed by the Parties;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7.1.9 Where Party A is aware that Party B falls under any of the circumstances stipulated in Article 6.2.6 herein, Party A shall have the right to require Party B to arrange for measures to secure repayment of the principal and interest on all loans under this Agreement and all associated costs as per the requirements of Party A, and Party A shall also have the right to directly take one or more remedial measures against the default specified in the clause herein with the heading “Breach Events and Treatment”.</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7.1.10 Party A has the right to report any newly incurred implicit local government debt of Party B to regulatory authorities;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7.1.11 Other rights provided hereunder.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7.2 Party A shall be obligated to:</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7.2.1 Extend loans or other credits to Party B within the scope of the Credit Line according to the conditions provided under this Agreement and separate agreements;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7.2.2 Maintain confidentiality for the status of Party B’s assets, finance, production and operation, unless otherwise required by laws and regulations or by the regulatory authority, or unless it is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2" w:name="page273"/>
    <w:bookmarkEnd w:id="27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provided to Party A’s superior or subordinate institutions or external auditors, accountants or lawyers carrying the same confidentiality obligation.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 Party B hereby makes the following guarantees:</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8.1 Party B is an entity with legal-person qualification lawfully established and existing under the laws of the People’s Republic of China, its procedures for registration and annual reports publication are true, lawful and valid, and it has full capacity for civil conduct to sign and perform this Agreement;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8.2 Party B has obtained full authorization from its board of directors or any other authorities to sign and perform this Agreement;</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8.3 Documents, data, certificates and other information provided by Party B regarding Party B, the Guarantor, mortgagors/pledgors and mortgaged/pledged assets are authentic, accurate, complete and valid, and do not contain material error or omission of any material fact that is inconsistent with the facts;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8.4 Party B shall strictly observe provisions of all separate transaction agreements and all letters and documents that it issues to Party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8.5 No litigation, arbitration or criminal/administrative penalty that may have material adverse consequences on Party B or its main property has taken place at the time of signing this Agreement and no such litigation, arbitration or criminal/administrative penalty will take place during the execution of this Agreement. In case any such condition occurs, Party B shall immediately notify Party A;</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8.6 Party B shall strictly abide by national laws and regulations in its business activities, carry out various businesses in strict accordance with the business scope stipulated in its business license or approved according to the law, and perform the procedures for enterprise (legal person) registration, annual reporting and business term renewal/extension on time;</w:t>
      </w:r>
    </w:p>
    <w:p>
      <w:pPr>
        <w:spacing w:after="0" w:line="1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8.7 Party B shall maintain or improve the current operation and management level, ensure the maintenance and appreciation of its existing assets, do not give up any mature debt claims, and do not dispose of existing main properties without compensation or by other inappropriate ways;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8.8 Without permission of Party A, Party B shall not repay other long-term debts in advance;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8.9 Party B’s Statements and Warranties Regarding the Management of Environmental, Social, and Governance (ESG) Risks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Environmental, Social, and Governance (ESG) risks refer to the risks associated with Party B, its related parties, major contractors, and suppliers in their construction, production, and operations that primarily relate to environmental, social, and governance factors. They cover issues related to ecological protection, environmental pollution, climate change, biodiversity, water resource utilization, production safety, occupational health, gender equality, employee rights and interests, land acquisition and resettlement, and other ESG-related concerns. Regarding ESG risk management, Party B makes the following statements and warranties: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3" w:name="page274"/>
    <w:bookmarkEnd w:id="27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8.9.1 Establish and improve the internal ESG risk management system to ensure compliance with relevant laws and regulations and guarantee its effective implementation;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8.9.2 Ensure that all behaviors and performance related to ESG risks are compliant, with no major litigation, arbitration cases, or other legal proceedings related to such risks;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8.9.3 Establish and improve the emergency response mechanism and measures for ESG risk incidents, designate a specialized department and/or personnel responsible for ESG risk matters, and clearly define responsibilities, obligations, and penalties in internal policies; if Party B faces strong public or stakeholder questioning regarding its ESG risk control performance, it shall make appropriate responses or take other necessary actions;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8.9.4 Urge its related parties, major contractors, and suppliers to strengthen management and prevent their ESG risks from affecting Party B;</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8.9.5 Submit ESG risk reports as required by Party A, cooperate with assessments and inspections conducted by Party A or a third party authorized by Party A, and promptly notify Party A of relevant situations about ESG risk control, including but not limited to permits, approvals, and ratifications related to ESG risks during project initiation, construction, operation, and closure; evaluations and inspections of ESG risks by ESG regulatory authorities or other recognized institutions concerning Party B, its related parties, major contractors, and suppliers; the construction and operations of supporting infrastructure for environmental protection; pollutant emissions and compliance; safety and health status of Party B’s employees; significant complaints or protests from neighboring communities against Party B, its related parties, major contractors, and suppliers; major environmental, social, and governance claims; and other significant ESG-related matters in the opinion of Party A;</w:t>
      </w:r>
    </w:p>
    <w:p>
      <w:pPr>
        <w:spacing w:after="0" w:line="1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8.9.6 Ensure that Party B and its related parties, major contractors, and suppliers comply with laws and regulations concerning ecology, environment, land, health, and safety in the country or territory where the project locates, adhere to relevant international standards and best practices, and maintain substantive consistency with international good practices in project management;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8.9.7 Fulfill other obligations related to ESG risk control as deemed necessary by Party A.</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8.10 Party B guarantees its compliance with national regulations on implicit local government debts and will not incur any additional debts of the same type in violation of those regulations after signing this Agreement. The implicit local government debts under this Agreement refer to:</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8.10.1 Debts recognized as implicit debts by regulatory authorities such as the national finance and audit authorities;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8.10.2 Debts not yet recognized as implicit debts by regulatory authorities but which, in practice, rely on fiscal funds for repayment or credit support (including guarantees, repurchase commitments, etc.) beyond the statutory government debt limit.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8.11 Party B shall strictly comply with and implement applicable anti-money laundering and sanctions compliance policies and regulations in China and other jurisdictions. Party B shall not participate in or assist others in suspected money laundering, terrorist financing, proliferation financing, tax evasion, fraud, or other illegal and noncompliant activities. Party B shall comply with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4" w:name="page275"/>
    <w:bookmarkEnd w:id="274"/>
    <w:p>
      <w:pPr>
        <w:jc w:val="both"/>
        <w:spacing w:after="0" w:line="266" w:lineRule="auto"/>
        <w:rPr>
          <w:sz w:val="20"/>
          <w:szCs w:val="20"/>
          <w:color w:val="auto"/>
        </w:rPr>
      </w:pPr>
      <w:r>
        <w:rPr>
          <w:rFonts w:ascii="Times New Roman" w:cs="Times New Roman" w:eastAsia="Times New Roman" w:hAnsi="Times New Roman"/>
          <w:sz w:val="18"/>
          <w:szCs w:val="18"/>
          <w:color w:val="auto"/>
        </w:rPr>
        <w:t>and implement Party A’s anti-money laundering and sanctions compliance documents and at Party’s request, actively cooperate with appropriate actions and investigations in accordance with relevant anti-money laundering, anti-terrorist financing, and anti-tax evasion regulations.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8.12 Party B shall not use false contracts, bills, accounts receivable, or other debts without a genuine trade background to handle discounting, factoring, pledging, letters of credit, forfeiting, or other business with Party A.</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8.13 The loans applied under the credit shall comply with the requirements of laws and regulations, and the loans shall not be used illegally for investment in fixed assets, equity, etc., for the speculation and sale of securities, futures and real estates, for mutual borrowing to obtain illegal income, for the production or operation sectors and purposes prohibited by the State, or for the purposes other than those specified herein and separate transaction agreements.</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loan proceeds are paid independently by the Borrower, Party B shall report the payment status to Party A regularly (at least monthly). Party A shall have the right to check whether the payment is in line with the agreed purpose through account analysis, voucher verification, site investigation, etc.</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8.14 At the time of signing and performing this Agreement, Party B has not had any other major events affecting the performance of its obligations hereunder.</w:t>
      </w:r>
    </w:p>
    <w:p>
      <w:pPr>
        <w:spacing w:after="0" w:line="135" w:lineRule="exact"/>
        <w:rPr>
          <w:sz w:val="20"/>
          <w:szCs w:val="20"/>
          <w:color w:val="auto"/>
        </w:rPr>
      </w:pPr>
    </w:p>
    <w:p>
      <w:pPr>
        <w:ind w:left="520" w:hanging="188"/>
        <w:spacing w:after="0"/>
        <w:tabs>
          <w:tab w:leader="none" w:pos="5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on Working Capital Loan</w:t>
      </w:r>
    </w:p>
    <w:p>
      <w:pPr>
        <w:spacing w:after="0" w:line="18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Drawdown and Use of Loan</w:t>
      </w:r>
    </w:p>
    <w:p>
      <w:pPr>
        <w:spacing w:after="0" w:line="184" w:lineRule="exact"/>
        <w:rPr>
          <w:rFonts w:ascii="Times New Roman" w:cs="Times New Roman" w:eastAsia="Times New Roman" w:hAnsi="Times New Roman"/>
          <w:sz w:val="18"/>
          <w:szCs w:val="18"/>
          <w:color w:val="auto"/>
        </w:rPr>
      </w:pPr>
    </w:p>
    <w:p>
      <w:pPr>
        <w:ind w:left="340" w:right="1460"/>
        <w:spacing w:after="0" w:line="4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working capital loan hereunder may be used by Party B through independent payment or entrusted payment. 9.1.1 Independent Payment</w:t>
      </w:r>
    </w:p>
    <w:p>
      <w:pPr>
        <w:spacing w:after="0" w:line="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Independent payment means that Party B pays the loan proceeds independently to its transaction counterparties for the agreed purpose after Party A disburses the loan amount to Party B’s account upon receipt of Party B’s drawdown application.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9.1.2 Entrusted Payment</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Entrusted payment means that Party A pays the loan proceeds via Party B’s account to any transaction counterparties of Party B for the agreed purpose based on Party B’s drawdown application and payment entrustment. For the loan proceeds paid through entrusted payment, Party B shall grant Party A the authority to make payments via Party B’s account to any transaction counterparties of Party B on the loan disbursement date (or a business day following loan disbursement).</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9.1.3 In any of the following circumstances, Party B shall adopt the method of full-amount entrusted payment unconditionally: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9.1.3.1 A single drawdown by Party B exceeds RMB </w:t>
      </w:r>
      <w:r>
        <w:rPr>
          <w:rFonts w:ascii="Times New Roman" w:cs="Times New Roman" w:eastAsia="Times New Roman" w:hAnsi="Times New Roman"/>
          <w:sz w:val="18"/>
          <w:szCs w:val="18"/>
          <w:u w:val="single" w:color="auto"/>
          <w:color w:val="auto"/>
        </w:rPr>
        <w:t>Ten Million</w:t>
      </w:r>
      <w:r>
        <w:rPr>
          <w:rFonts w:ascii="Times New Roman" w:cs="Times New Roman" w:eastAsia="Times New Roman" w:hAnsi="Times New Roman"/>
          <w:sz w:val="18"/>
          <w:szCs w:val="18"/>
          <w:color w:val="auto"/>
        </w:rPr>
        <w:t xml:space="preserve"> (inclusive, or equivalent foreign currency);</w:t>
      </w:r>
    </w:p>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9.1.3.2 Party A requires Party B to adopt the method of entrusted payment as required by regulatory authority or risk control.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11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5" w:name="page276"/>
    <w:bookmarkEnd w:id="27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9.1.4 In case of entrusted payment, the disbursed loan proceeds shall be paid with Party A’s approval, and Party B shall not circumvent Party A’s supervision through online banking, inverted promissory notes, breaking up the total amount into parts, etc.</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9.2. At the time of drawdown, Party B shall submit an application as required by Party A (which shall be affixed with Party B’s official seal or Party B’s specimen seal at Party A if submitted offline; with a digital certificate or other signatures accepted by Party A if submitted online), certificate of indebtedness (if any) and documents required by Party A according to the specific requirements for independent payment or entrusted payment. Otherwise, Party A shall have the right to reject Party B’s drawdown request. Party A shall not be liable for Party B’s breach of contract or other losses caused by Party B to its transaction counterparties due to any delay or failure </w:t>
      </w:r>
      <w:r>
        <w:rPr>
          <w:rFonts w:ascii="Times New Roman" w:cs="Times New Roman" w:eastAsia="Times New Roman" w:hAnsi="Times New Roman"/>
          <w:sz w:val="18"/>
          <w:szCs w:val="18"/>
          <w:b w:val="1"/>
          <w:bCs w:val="1"/>
          <w:color w:val="auto"/>
        </w:rPr>
        <w:t>in payment arising from provision of inaccurate and incomplete payment information by Party B.</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9.3 Loan Extension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Party B requests a loan extension because of its failure to make repayment of any loan hereunder on time, it shall submit a written application to Party A one month before the expiration of the relevant loan. If Party A grants an extension, Party A and Party B shall sign a separate extension agreement. If Party A refuses to grant an extension, the loan already used by Party B and the interest payable thereon shall still be repaid pursuant to this Agreement and corresponding certificate of indebtedness or the records in Party A’s system.</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 Breach Events and Treatment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 Party B shall be deemed to have breached this Agreement under any of the following circumstances: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10.1.1 It fails to perform or breaches any of the obligations set forth herein;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10.1.2 It makes any special warranty hereunder that is inauthentic or incomplete, or breaches or does not fulfill the special warranty;</w:t>
      </w:r>
    </w:p>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10.1.3 Party B fails to draw or use the loan as agreed herein, repay the loan principal and interest or expenses in full and on time as required herein, use the funds in the collection account as per Party A’s requirements, or accept Party A’s supervision, without immediate rectification upon request by Party A;</w:t>
      </w:r>
    </w:p>
    <w:p>
      <w:pPr>
        <w:spacing w:after="0" w:line="13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10.1.4 It makes any material breach event related to any lawful and valid contract signed by Party B with any other creditor and such breach is not resolved within three months following the date of breach; or any related party of Party B commits a material default with China Merchants Bank or other creditors, which remains unresolved within three months from the date of occurrence, and Party A determines that this may negatively impact Party B’s performance (regardless of whether Party B has actually defaulted under this Agreement).</w:t>
      </w:r>
    </w:p>
    <w:p>
      <w:pPr>
        <w:spacing w:after="0" w:line="13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aforementioned material breach event refers to such breach of Party B that results in its creditor’s entitlement to claim from Party B an indemnity of CNY </w:t>
      </w:r>
      <w:r>
        <w:rPr>
          <w:rFonts w:ascii="Times New Roman" w:cs="Times New Roman" w:eastAsia="Times New Roman" w:hAnsi="Times New Roman"/>
          <w:sz w:val="18"/>
          <w:szCs w:val="18"/>
          <w:b w:val="1"/>
          <w:bCs w:val="1"/>
          <w:u w:val="single" w:color="auto"/>
          <w:color w:val="auto"/>
        </w:rPr>
        <w:t>One</w:t>
      </w:r>
      <w:r>
        <w:rPr>
          <w:rFonts w:ascii="Times New Roman" w:cs="Times New Roman" w:eastAsia="Times New Roman" w:hAnsi="Times New Roman"/>
          <w:sz w:val="18"/>
          <w:szCs w:val="18"/>
          <w:b w:val="1"/>
          <w:bCs w:val="1"/>
          <w:color w:val="auto"/>
        </w:rPr>
        <w:t xml:space="preserve"> Million or more.</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10.1.5 If Party B is an enterprise listed or applying for listing on the National Equities Exchange and Quotations (“NEEQ”), it experiences significant obstructions or withdraws the application for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6" w:name="page277"/>
    <w:bookmarkEnd w:id="276"/>
    <w:p>
      <w:pPr>
        <w:jc w:val="both"/>
        <w:spacing w:after="0" w:line="266" w:lineRule="auto"/>
        <w:rPr>
          <w:sz w:val="20"/>
          <w:szCs w:val="20"/>
          <w:color w:val="auto"/>
        </w:rPr>
      </w:pPr>
      <w:r>
        <w:rPr>
          <w:rFonts w:ascii="Times New Roman" w:cs="Times New Roman" w:eastAsia="Times New Roman" w:hAnsi="Times New Roman"/>
          <w:sz w:val="18"/>
          <w:szCs w:val="18"/>
          <w:color w:val="auto"/>
        </w:rPr>
        <w:t>listing; it is given with warning letters, ordered to make corrections, restricted in the trading of its securities account, or imposed with other self-disciplinary measures by NEEQ, for more than 3 times; or it is subject to disciplinary actions, or its listing is terminated, or other similar circumstances;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10.1.6 When Party B is a supplier of a government procurement agency, the government procurement agency has risk information detrimental to loan repayment to Party A such as delayed payment for three continuous or cumulative periods, or Party B experiences disqualification for supply (inclusion in government procurement blacklist), untimely supply, unstable product quality, operating difficulties, obvious deterioration of financial position (insolvency), project shutdown, etc.</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10.1.7 Party B’s financial indicators fail to continuously satisfy the requirements stipulated in this Agreement/separate service agreement; or any of the preconditions (if any) for Party A to provide credit facility/financing to Party B as stipulated in this Agreement/separate service agreement is not continuously satisfied.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10.1.8 Party B draws and utilizes the loan by “breaking up the total amount into parts” in order to circumvent entrusted payment of loan proceeds by Party A pursuant to the requirements herein;</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10.1.9 </w:t>
      </w:r>
      <w:r>
        <w:rPr>
          <w:rFonts w:ascii="Times New Roman" w:cs="Times New Roman" w:eastAsia="Times New Roman" w:hAnsi="Times New Roman"/>
          <w:sz w:val="18"/>
          <w:szCs w:val="18"/>
          <w:color w:val="auto"/>
        </w:rPr>
        <w:t>If Party B fails to properly fulfill or satisfy the statements and warranties related to ESG risk management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if Party B is subject to penalties by relevant regulatory authorities or faces strong public and/or media questioning due to poor ESG risk management, or if other ESG-related defaults occur, including violations of ESG agreements between Party B, its related parties, major contractors, or suppliers and their respective creditors;</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10.1.10 If Party B uses related-party transactions to impair or evade the debts of China Merchants Bank or other institutions, it shall be deemed as default.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related-party transaction refers to the transfer of resources or obligations between related parties, whether or not a price is charged.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10.1.11 Other circumstances Party A considers to be harmful to Party A’s legitimate rights and interests.</w:t>
      </w:r>
    </w:p>
    <w:p>
      <w:pPr>
        <w:spacing w:after="0" w:line="19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10.2 In the event the Guarantor has any of the following conditions, and Party A considers it may harm the Guarantor’s guarantee capability, thus requires the Guarantor to eliminate adverse effect of such circumstance or requires Party B to increase security or change security condition, but the Guarantor and Party B fail to cooperate with such requirement, it will be deemed a breach event has occurred:</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10.2.1 A condition similar to one of the conditions described under Article 6.2.6 hereof has occurred, or a condition described under Article 6.2.8 has occurred without Party A’s consent;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10.2.2 The Guarantor conceals its actual capability for undertaking the guarantee responsibility or has not obtained authorization from relevant authority when issuing the irrevocable letter of guarantee;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10.2.3 The Guarantor fails to perform on time the annual enterprise reporting procedure, renewal/extension of its business term, or other similar circumstances;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10.2.4 The Guarantor is being slack in managing and claiming for its mature debts or disposes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color w:val="auto"/>
        </w:rPr>
        <w:t>of its existing main properties without compensation or by other improper means.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10.2.5 The Guarantor breaches any obligation, undertaking or statement set forth in any irrevocable letter of guarantee signed by it.</w:t>
      </w:r>
    </w:p>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10.3 In the event the Mortgagor (or Pledgor) has any of the following conditions, and Party A considers it may result in failure of creation of mortgage/pledge or deficiency in the value of the mortgaged/pledged asset, thus requires the Mortgagor/Pledgor to eliminate adverse effect of such condition or requires Party B to increase security or change security condition, or the Mortgagor/Pledgor and Party B fails to cooperate with such requirement, it will be deemed a breach event has occurred:</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10.3.1 The mortgagor/pledgor has no ownership or disposal right to the mortgaged/pledged asset or the ownership is disputable;</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10.3.2 The mortgage/pledge has not been registered, or the mortgaged/pledged asset has been leased, legally resided, seized, retained or supervised, has a common/legal priority (including but not limited to the priority of construction project or movable property payments), has been created with the retained priority of the seller’s ownership and the priority of lessor’s financing lease, and/or has been concealed with the occurrence thereof;</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10.3.3 The mortgagor transfers, leases, re-mortgages or disposes of by any improper means the mortgaged asset without Party A’s written consent; or even though such disposal is done with Party A’s written consent, the proceeds obtained from disposal of the mortgaged asset is not used to repay Party B’s debts to Party A as required by Party A;</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10.3.4 The mortgagor fails to properly keep, maintain and repair the mortgaged asset, obviously derogating their value; or the act of the mortgagor directly endangers the mortgaged asset, causing their value to decrease; or the mortgagor fails to obtain/renew insurance for the mortgaged asset as required by Party A during the mortgage term;</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10.3.5 The mortgaged asset is or is likely to be included in the government’s scope of demolition and expropriation, but the mortgagor fails to inform Party A promptly and perform relevant obligations under the mortgage contract;</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10.3.6 In case the mortgagor uses its housing property which it has mortgaged with China Merchants Bank to provide residual mortgage security for the transaction hereunder, the mortgagor pays off his/her personal mortgage loan without Party A’s consent before Party B’s has paid off its credit debt hereunder.</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10.3.7 Where the pledgor provides wealth management product as pledge, the source of funds for subscription of the wealth management product is illegal/non-compliant;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10.3.8 Matters concerning the collateral (pledge) occur or are likely to occur, which affect the value of the collateral (pledge) or the collateral (pledge) rights of Party A.</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10.3.9 The mortgagor (or pledgor) breaches any obligation, undertaking or statement set forth in any mortgage/pledge contract signed by it.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10.4 The mortgagor (or pledgor) is subject to the risk of money laundering or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color w:val="auto"/>
        </w:rPr>
        <w:t>compliance risks that may impair Party A’s interests.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10.5 Where accounts receivable are pledged to secure the debt hereunder, if the accounts receivable debtor’s business has deteriorated significantly, or the accounts receivable debtor transfers its properties or illegally withdraws capital for the purpose of debt evasion, or colludes with the accounts receivable pledgor to change the payments collection channel to divert payment of accounts receivable from entering the designated collection account, or loses its goodwill, or loses or is likely to lose its capability to perform the pledge agreement, or has any other major event that impairs its solvency, Party A shall have the right to require Party B to provide corresponding security or provide new valid accounts receivable for pledge, failing which, it will be deemed a breach event has arisen.</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10.6 Once any of the above breach events has arisen, Party A shall have the right to take the following measures separately or simultaneously: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10.6.1 Reduce the Credit Line hereunder, or stop utilization of the remaining amount of the Credit 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10.6.2 Recover in advance principals, interests and related fees of all loans extended within the scope of the Credit Line;</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10.6.3 As for bills accepted or letters of credit, letters of guarantee, delivery guarantees and other credit papers issued (including entrusted reissue) by Party A within the Credit Extending Period, regardless if any advance has been made, Party A shall have the right to require Party B to increase the amount of bond, or transfer deposits from its other accounts at Party A into the bond account or deposit the corresponding amounts with a third party, to secure for repayment of future advances made by Party A hereunder;</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10.6.4 As for outstanding accounts receivable claim of Party B acquired in factoring service, Party A shall have the right to require Party B to immediately perform the repurchase obligation and adopt other recovery measures in accordance with relevant separate service agreement; as for accounts receivable claim against Party B acquired in factoring service, Party A shall have the right to claim against Party B immediately.</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10.6.5 As appropriate, Party A may also directly require Party B to provide other assets acceptable to Party A as new security, failing which, </w:t>
      </w:r>
      <w:r>
        <w:rPr>
          <w:rFonts w:ascii="Times New Roman" w:cs="Times New Roman" w:eastAsia="Times New Roman" w:hAnsi="Times New Roman"/>
          <w:sz w:val="18"/>
          <w:szCs w:val="18"/>
          <w:b w:val="1"/>
          <w:bCs w:val="1"/>
          <w:color w:val="auto"/>
        </w:rPr>
        <w:t>Party B shall be liable to pay liquidated damage equivalent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30</w:t>
      </w:r>
      <w:r>
        <w:rPr>
          <w:rFonts w:ascii="Times New Roman" w:cs="Times New Roman" w:eastAsia="Times New Roman" w:hAnsi="Times New Roman"/>
          <w:sz w:val="18"/>
          <w:szCs w:val="18"/>
          <w:b w:val="1"/>
          <w:bCs w:val="1"/>
          <w:color w:val="auto"/>
        </w:rPr>
        <w:t>% of the Credit Line hereunder.</w:t>
      </w:r>
    </w:p>
    <w:p>
      <w:pPr>
        <w:spacing w:after="0" w:line="13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10.6.6 Directly freeze/debit deposit in/from any settlement account and/or other account opened by Party B with China Merchants Bank, suspend opening of new settlement account for Party B, and suspend opening of new credit card for legal representative;</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10.6.7 Submit Party B’s default and dishonesty information to credit standing agencies and banking associations, and have the right to share such information among banking institutions and even make it known to the public by appropriate means;</w:t>
      </w:r>
    </w:p>
    <w:p>
      <w:pPr>
        <w:spacing w:after="0" w:line="1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10.6.8 Dispose of the collateral (pledge) and/or claim compensation from the guarantor as per the provisions of the guarantee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15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9" w:name="page280"/>
    <w:bookmarkEnd w:id="27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10.6.9 For a working capital loan granted under the credit, Party A may change the entrusted payment conditions of proceeds and remove the method of independent payment for Party B’s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10.6.10 Claim compensation pursuant to the provisions of this Agreement.</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10.7 Funds recovered by Party A will be used to repay credit debts in a last-to-first order according to their respective maturity date. And each credit will be repaid in the following order: fees, liquidated damages, compound interests, penalty interests, interests, and lastly principals of the credit, until all principals, interests and related fees have been fully repaid.</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Party A shall have the right to unilaterally adjust the above repayment order, unless otherwise required by laws and regulations.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 Amendment and Supplement to Agreement</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Agreement may be amended on the basis of consensus and execution of a written agreement between Party A and Party B. This Agreement shall remain valid before a written agreement is executed. Neither party shall unilaterally amend this Agreement without consent of the other party.</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Written supplementary agreements made and entered by and between the Parties through negotiation regarding matters not covered hereunder and modifications hereto and all separate agreements entered into hereunder by the Parties shall form appendixes to and constitute integral parts of this Agreement.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Other matters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12.1 During the term of validity of this Agreement, any tolerance or grace period given by Party A for any breach or delay of Party B or any delay of Party A in exercising any interest or right hereunder will not prejudice, affect or restrict any rights and interests Party A is entitled to as the creditor under the law and this Agreement, and shall not be deemed as Party A’s permission or approval for any breach or waiver of its right to adopt action against any existing or future breach.</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12.2 In case this Agreement or any part thereof becomes void or invalid in law due to any reason whatsoever, Party B shall still be liable for all debts owed to Party A hereunder. In such case, Party A shall have the right to terminate performance of this Agreement and immediately claim repayment of all debts owed by Party B hereunder.</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If any change in applicable laws or regulations results in increase in Party A’s cost for performing its obligations hereunder, Party B shall compensate for Party A’s cost increase as required by Party A.</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12.3 Any notice, requirement or other document of Party A and Party B with respect to this Agreement (“Notice”) shall be transmitted in writing form (including but not limited to mail, fax, email, CMB’s e-platforms such as corporate banking/corporate APP, SMS, and WeChat). Party B confirm the address and method of service of documents as follows: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12.3.1 Party B confirms and agrees that Party B’s contact address email, fax number, mobile phone number or WeChat account retained in CMB’s corporate banking/corporate APP or other e-platforms or set forth in this Agreement are used as the addresses for serving notices, demands, 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color w:val="auto"/>
        </w:rPr>
        <w:t>other documents related to this Agreement.</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12.3.2 Party B confirms and agrees that, in case of personal service (including but not limited to service by lawyer/notary public or express delivery), it will be deemed served upon being signed receipt by the addressee (</w:t>
      </w:r>
      <w:r>
        <w:rPr>
          <w:rFonts w:ascii="Times New Roman" w:cs="Times New Roman" w:eastAsia="Times New Roman" w:hAnsi="Times New Roman"/>
          <w:sz w:val="18"/>
          <w:szCs w:val="18"/>
          <w:b w:val="1"/>
          <w:bCs w:val="1"/>
          <w:color w:val="auto"/>
        </w:rPr>
        <w:t>in case of rejection by the addressee,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notification will be deemed served upon the rejection date/return date or seven days following posting, whichever is earlier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 case of postal mail, it will be deemed served seven days following posting; </w:t>
      </w:r>
      <w:r>
        <w:rPr>
          <w:rFonts w:ascii="Times New Roman" w:cs="Times New Roman" w:eastAsia="Times New Roman" w:hAnsi="Times New Roman"/>
          <w:sz w:val="18"/>
          <w:szCs w:val="18"/>
          <w:color w:val="auto"/>
        </w:rPr>
        <w:t>in case of fax, email, announcements/notices in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as </w:t>
      </w:r>
      <w:r>
        <w:rPr>
          <w:rFonts w:ascii="Times New Roman" w:cs="Times New Roman" w:eastAsia="Times New Roman" w:hAnsi="Times New Roman"/>
          <w:sz w:val="18"/>
          <w:szCs w:val="18"/>
          <w:b w:val="1"/>
          <w:bCs w:val="1"/>
          <w:color w:val="auto"/>
        </w:rPr>
        <w:t>CMB</w:t>
      </w:r>
      <w:r>
        <w:rPr>
          <w:rFonts w:ascii="Times New Roman" w:cs="Times New Roman" w:eastAsia="Times New Roman" w:hAnsi="Times New Roman"/>
          <w:sz w:val="18"/>
          <w:szCs w:val="18"/>
          <w:color w:val="auto"/>
        </w:rPr>
        <w:t xml:space="preserve">’s corporate banking/corporate APP, mobile phone SMS, WeChat or other acceptable electronic means, it will be deemed served upon the date of successfully sent as shown by Party A’s corresponding system/electronic device. </w:t>
      </w:r>
      <w:r>
        <w:rPr>
          <w:rFonts w:ascii="Times New Roman" w:cs="Times New Roman" w:eastAsia="Times New Roman" w:hAnsi="Times New Roman"/>
          <w:sz w:val="18"/>
          <w:szCs w:val="18"/>
          <w:b w:val="1"/>
          <w:bCs w:val="1"/>
          <w:color w:val="auto"/>
        </w:rPr>
        <w:t>Notification of debt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debt collection to Party B announced by Party A on any public media will be deemed served upon the date of announcement.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12.3.3 If Party B changes its contact address, email, fax, mobile phone or WeChat, it shall inform Party A of such change within five business days of change, otherwise Party A shall have the right to serve documents to the original address or contact information of Party B. Party B shall bear the loss of such notification failure on its own without prejudice to the legal effectiveness of the service.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12.3.4 If a court/arbitration or notary institution delivers judicial/arbitration or notary documents to the address of service set forth in the preceding clause using the service methods specified in this Agreement, the service to the address set forth in the preceding clause shall be deemed as effective (the specific service standards shall be subject to the provisions of the preceding clause).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Party B further agrees that the court may serve instruments to Party B by electronic means such as China Judicial Process Information Online and National Court Unified Service Platform. If the court serves instruments by electronic means as agreed above, the date of service indicated on China Judicial Process Information Online and National Court Unified Service Platform shall be regarded as the date of service.</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12.3.5 The address and method of service stipulated in this Article shall apply to all stages of agreement performance, dispute settlement, arbitration, court hearing (first instance, second instance, retrial), and execution.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12.4 The Parties agree that, to make an application for the trade financing service, Party B will only need to affix the reserved seal to application form; both parties hereby acknowledge the validity of such seal.</w:t>
      </w:r>
    </w:p>
    <w:p>
      <w:pPr>
        <w:spacing w:after="0" w:line="11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12.5 The Parties acknowledge that when Party B submits an application for credit service for transaction voucher through Party A’s electronic platform (including but not limited to corporate banking/corporate APP), the electronic signature generated in the form of digital certificate shall be regarded as a valid signature of Party B that represents the true intention of Party B. Party A shall have the right to issue the relevant transaction voucher according to the application information submitted online, and Party B shall recognize and be bound by its authenticity, accuracy and legality.</w:t>
      </w:r>
    </w:p>
    <w:p>
      <w:pPr>
        <w:spacing w:after="0" w:line="15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12.6 For convenience of business handling, all operations of Party A related to transactions hereunder (including but not limited to applications acceptance, documents review, loans releasing, transaction confirmation, debiting, inquiry, receipt printing, collection, payment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1" w:name="page282"/>
    <w:bookmarkEnd w:id="28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debiting and collection and notification) may be processed by any outlet within Party A’s jurisdiction which may generate, issue and produce relevant letters and instruments; operations and instruments handled by other outlets within Party A’s jurisdiction will be regarded as being done by Party A and be binding on Party B.</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12.7 All appendixes hereto shall constitute integral parts of this Agreement and will automatically apply to corresponding specific transaction conducted between the Parties.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12.8 Payment of Expenses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 □12.8.1 The relevant premium for accident insurance obtained by Party B and with Party A as the first beneficiary shall be paid by the following means (check the box □ with “√”).</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check the box□ with “√”:</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□Paid by Party 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by Party A and Party B at: Party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Party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□12.8.2 The relevant expenses arising from the notarization of enforcement (excluding the expenses arising from the application for issuance of a certificate of enforcement) shall be paid by the following means (check the box □ with “√”).</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check the box □ with “√”:</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 □Paid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by Party A and Party B at: Party A / %, Party B / %</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12.8.3 The expenses arising from entrustment of a third party to provide services shall be borne by the entrusting party. If the entrustment is made by the Parties jointly, they shall each bear 50% of expenses.</w:t>
      </w:r>
    </w:p>
    <w:p>
      <w:pPr>
        <w:spacing w:after="0" w:line="12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12.8.4 In the event that Party B fails to repay on time the debts owed to Party A hereunder, all costs incurred by Party A in realizing its debt claim, such as attorney’s fees, legal fees, travel expenses, announcement fees, and service fees, shall be borne by Party B in full, and </w:t>
      </w:r>
      <w:r>
        <w:rPr>
          <w:rFonts w:ascii="Times New Roman" w:cs="Times New Roman" w:eastAsia="Times New Roman" w:hAnsi="Times New Roman"/>
          <w:sz w:val="17"/>
          <w:szCs w:val="17"/>
          <w:b w:val="1"/>
          <w:bCs w:val="1"/>
          <w:color w:val="auto"/>
        </w:rPr>
        <w:t>Party B hereby authorizes Party A to directly debit such costs from Party B’s bank account with Party A. In case of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deficiency, Party B shall indemnify Party A in full upon receipt of notice from Party A without requiring any proof from Party A.</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12.9 Party B shall, as per the requirements of Party A, (Check the box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 “√”):</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insure its core assets and designate Party A as the first beneficiary;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 sell or pledge the assets designated by Party A prior to settlement of credit debts;</w:t>
      </w:r>
    </w:p>
    <w:p>
      <w:pPr>
        <w:spacing w:after="0" w:line="185" w:lineRule="exact"/>
        <w:rPr>
          <w:sz w:val="20"/>
          <w:szCs w:val="20"/>
          <w:color w:val="auto"/>
        </w:rPr>
      </w:pPr>
    </w:p>
    <w:p>
      <w:pPr>
        <w:ind w:firstLine="498"/>
        <w:spacing w:after="0" w:line="28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impose the following restrictions on the dividends of its shareholders prior to settlement of credit debts as per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requirements of Party A:</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12.10 Party B shall make sure that its financial indicators during the Credit Extending Period are not lower than the following requirements: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2" w:name="page283"/>
    <w:bookmarkEnd w:id="282"/>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12.11 Party B also acknowledges the contents of the Group Credit Service Cooperation Agreement (No. /) (including adjustments and supplements made by the signatory from time to time) signed between China Merchants Bank / Branch and Party B’s parent company</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Head Office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holding company (insert company name), and agrees to be bound by the agreement and to, as an affiliate of the group under the agreement, undertake all the obligations set forth for the affiliate of the group. In the event of violation, Party A shall be deemed to have committed a default, and Party A shall have the right to take various remedial measures against default as stipulated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5619115</wp:posOffset>
            </wp:positionH>
            <wp:positionV relativeFrom="paragraph">
              <wp:posOffset>-718185</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-581025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12.12 During financial and operational decision-making, a party shall be considered a related party under this Agreement if it has the ability to directly or indirectly control, jointly control, or exert significant influence over the other party. If two or more parties are subject to common control by a third party, they shall also be deemed related parties too, as determined by Party A.</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“key stakeholder” under this Agreement refers to Party B’s legal representative or person in charge, authorized signatory, de facto controller, beneficial owner, key investor, key investee, key creditor, controlled entity, etc., as determined by Party A.</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12.13 Other matters agreed: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 Account Information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 □13.1 Special Loan Account (Check the box “□ ” with “√” if applicable)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loan proceeds hereunder must be disbursed and paid through the following account: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-7620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-7620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Beneficiary Bank: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-7620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13.2 Collection account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13.2.1 Party A and Party B agree to designate the following account as Party B’s collection account: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Account Name: </w:t>
      </w:r>
      <w:r>
        <w:rPr>
          <w:rFonts w:ascii="Times New Roman" w:cs="Times New Roman" w:eastAsia="Times New Roman" w:hAnsi="Times New Roman"/>
          <w:sz w:val="18"/>
          <w:szCs w:val="18"/>
          <w:u w:val="single" w:color="auto"/>
          <w:color w:val="auto"/>
        </w:rPr>
        <w:t>Shenzhen Xunlei Network Technology Co., Ltd.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Account No.: </w:t>
      </w:r>
      <w:r>
        <w:rPr>
          <w:rFonts w:ascii="Times New Roman" w:cs="Times New Roman" w:eastAsia="Times New Roman" w:hAnsi="Times New Roman"/>
          <w:sz w:val="18"/>
          <w:szCs w:val="18"/>
          <w:u w:val="single" w:color="auto"/>
          <w:color w:val="auto"/>
        </w:rPr>
        <w:t>755901747310602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Beneficiary Bank: </w:t>
      </w:r>
      <w:r>
        <w:rPr>
          <w:rFonts w:ascii="Times New Roman" w:cs="Times New Roman" w:eastAsia="Times New Roman" w:hAnsi="Times New Roman"/>
          <w:sz w:val="18"/>
          <w:szCs w:val="18"/>
          <w:u w:val="single" w:color="auto"/>
          <w:color w:val="auto"/>
        </w:rPr>
        <w:t>China Merchants Bank Shenzhen Shekou Sub-branch</w:t>
      </w:r>
    </w:p>
    <w:p>
      <w:pPr>
        <w:spacing w:after="0" w:line="18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If the account information above is inconsistent with what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recorded in the certificate of indebtedness or Party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system, the certificate of indebtedness or the account information in Party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system shall prevail.</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13.2.2 The supervision requirements for this account are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-7620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Party A shall have the right to recover the loan in advance according to Party B’s fund collection status, i.e., when funds have been collected into the collection account, the loan at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3" w:name="page284"/>
    <w:bookmarkEnd w:id="28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amount of the funds may be deemed due in advance and Party A shall have the right to debit funds directly from the collection account to repay the loan.</w:t>
      </w:r>
    </w:p>
    <w:p>
      <w:pPr>
        <w:spacing w:after="0" w:line="11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13.3 Party B shall provide quarterly fund flow information of the aforesaid accounts, and shall cooperate with Party A in the supervision over the said accounts and collection of funds thereinto.</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14. Applicable Law and Dispute Resolution</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14.1 Conclusion, interpretation and dispute resolution of this Agreement shall be governed by the laws of the People’s Republic of China (excluding the laws of Hong Kong SAR, Macao SAR and the Taiwan region); and the Parties’ rights and interests shall be protected by the laws of the People’s Republic of China.</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14.2 Any dispute arising from the performance of this Agreement shall be resolved through negotiation between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If negotiation fails, either party may (choose one out of the following three options by checking the </w:t>
      </w:r>
      <w:r>
        <w:rPr>
          <w:rFonts w:ascii="Times New Roman" w:cs="Times New Roman" w:eastAsia="Times New Roman" w:hAnsi="Times New Roman"/>
          <w:sz w:val="18"/>
          <w:szCs w:val="18"/>
          <w:color w:val="auto"/>
        </w:rPr>
        <w:t>box □ with “√”):</w:t>
      </w:r>
    </w:p>
    <w:p>
      <w:pPr>
        <w:spacing w:after="0" w:line="176" w:lineRule="exact"/>
        <w:rPr>
          <w:sz w:val="20"/>
          <w:szCs w:val="20"/>
          <w:color w:val="auto"/>
        </w:rPr>
      </w:pPr>
    </w:p>
    <w:p>
      <w:pPr>
        <w:ind w:left="660" w:hanging="328"/>
        <w:spacing w:after="0"/>
        <w:tabs>
          <w:tab w:leader="none" w:pos="660" w:val="left"/>
        </w:tabs>
        <w:numPr>
          <w:ilvl w:val="0"/>
          <w:numId w:val="246"/>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14.2.1 Bring an action with a competent people’s court at Party A’s place;</w:t>
      </w:r>
    </w:p>
    <w:p>
      <w:pPr>
        <w:spacing w:after="0" w:line="185" w:lineRule="exact"/>
        <w:rPr>
          <w:sz w:val="20"/>
          <w:szCs w:val="20"/>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14.2.2 File a lawsuit in the people’s court with jurisdiction of the Agreement Execution Place, which is /;</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14.2.3 Apply for arbitration with </w:t>
      </w: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_ (insert name of the arbitration body); the place of arbitration shall be_</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-254000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14.3 After this Agreement and all separate agreements concluded thereunder have been notarized with mandatory enforcement force, to claim for repayment of debts owed by Party B under this Agreement and all separate agreements, Party A may directly submit an application to a competent people’s court for enforcement.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15. Effectiveness of the Agreement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Agreement will enter into force upon being signed and affixed with signature seal by legal representatives/principal responsible persons of both parties or their authorized agents and affixed with common seals/seal of contracts of both parties, and will expire automatically upon the expiration date of the Credit Extending Period or the date when all debts and other related fees owed by Party B to Party A hereunder have been fully repaid (whichever comes later).</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16. Supplementary Provisions</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This Agreement is executed in triplicate with Party A, Party B and </w:t>
      </w:r>
      <w:r>
        <w:rPr>
          <w:rFonts w:ascii="Times New Roman" w:cs="Times New Roman" w:eastAsia="Times New Roman" w:hAnsi="Times New Roman"/>
          <w:sz w:val="18"/>
          <w:szCs w:val="18"/>
          <w:u w:val="single" w:color="auto"/>
          <w:color w:val="auto"/>
        </w:rPr>
        <w:t>the Guarantor</w:t>
      </w:r>
      <w:r>
        <w:rPr>
          <w:rFonts w:ascii="Times New Roman" w:cs="Times New Roman" w:eastAsia="Times New Roman" w:hAnsi="Times New Roman"/>
          <w:sz w:val="18"/>
          <w:szCs w:val="18"/>
          <w:color w:val="auto"/>
        </w:rPr>
        <w:t xml:space="preserve"> each keeping one copy and all copies have the same legal effect.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Appendix: 1. Special Provisions Regarding Cross-border Trade Financing</w:t>
      </w:r>
    </w:p>
    <w:p>
      <w:pPr>
        <w:spacing w:after="0" w:line="198" w:lineRule="exact"/>
        <w:rPr>
          <w:sz w:val="20"/>
          <w:szCs w:val="20"/>
          <w:color w:val="auto"/>
        </w:rPr>
      </w:pPr>
    </w:p>
    <w:p>
      <w:pPr>
        <w:ind w:left="1360" w:hanging="185"/>
        <w:spacing w:after="0"/>
        <w:tabs>
          <w:tab w:leader="none" w:pos="13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Regarding Buyer/Import Factoring</w:t>
      </w:r>
    </w:p>
    <w:p>
      <w:pPr>
        <w:spacing w:after="0" w:line="184" w:lineRule="exact"/>
        <w:rPr>
          <w:rFonts w:ascii="Times New Roman" w:cs="Times New Roman" w:eastAsia="Times New Roman" w:hAnsi="Times New Roman"/>
          <w:sz w:val="18"/>
          <w:szCs w:val="18"/>
          <w:color w:val="auto"/>
        </w:rPr>
      </w:pPr>
    </w:p>
    <w:p>
      <w:pPr>
        <w:ind w:left="1360" w:hanging="185"/>
        <w:spacing w:after="0"/>
        <w:tabs>
          <w:tab w:leader="none" w:pos="13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Regarding Order Loan</w:t>
      </w:r>
    </w:p>
    <w:p>
      <w:pPr>
        <w:spacing w:after="0" w:line="184" w:lineRule="exact"/>
        <w:rPr>
          <w:rFonts w:ascii="Times New Roman" w:cs="Times New Roman" w:eastAsia="Times New Roman" w:hAnsi="Times New Roman"/>
          <w:sz w:val="18"/>
          <w:szCs w:val="18"/>
          <w:color w:val="auto"/>
        </w:rPr>
      </w:pPr>
    </w:p>
    <w:p>
      <w:pPr>
        <w:ind w:left="1360" w:hanging="185"/>
        <w:spacing w:after="0"/>
        <w:tabs>
          <w:tab w:leader="none" w:pos="13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Regarding Commercial Acceptance Bills Guarantee</w:t>
      </w:r>
    </w:p>
    <w:p>
      <w:pPr>
        <w:spacing w:after="0" w:line="198" w:lineRule="exact"/>
        <w:rPr>
          <w:rFonts w:ascii="Times New Roman" w:cs="Times New Roman" w:eastAsia="Times New Roman" w:hAnsi="Times New Roman"/>
          <w:sz w:val="18"/>
          <w:szCs w:val="18"/>
          <w:color w:val="auto"/>
        </w:rPr>
      </w:pPr>
    </w:p>
    <w:p>
      <w:pPr>
        <w:ind w:left="1360" w:hanging="185"/>
        <w:spacing w:after="0"/>
        <w:tabs>
          <w:tab w:leader="none" w:pos="13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Regarding Derivative Transactions</w:t>
      </w:r>
    </w:p>
    <w:p>
      <w:pPr>
        <w:spacing w:after="0" w:line="184" w:lineRule="exact"/>
        <w:rPr>
          <w:rFonts w:ascii="Times New Roman" w:cs="Times New Roman" w:eastAsia="Times New Roman" w:hAnsi="Times New Roman"/>
          <w:sz w:val="18"/>
          <w:szCs w:val="18"/>
          <w:color w:val="auto"/>
        </w:rPr>
      </w:pPr>
    </w:p>
    <w:p>
      <w:pPr>
        <w:ind w:left="1360" w:hanging="185"/>
        <w:spacing w:after="0"/>
        <w:tabs>
          <w:tab w:leader="none" w:pos="13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Regarding Gold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4" w:name="page285"/>
    <w:bookmarkEnd w:id="284"/>
    <w:p>
      <w:pPr>
        <w:ind w:left="340"/>
        <w:spacing w:after="0"/>
        <w:rPr>
          <w:sz w:val="20"/>
          <w:szCs w:val="20"/>
          <w:color w:val="auto"/>
        </w:rPr>
      </w:pPr>
      <w:r>
        <w:rPr>
          <w:rFonts w:ascii="Times New Roman" w:cs="Times New Roman" w:eastAsia="Times New Roman" w:hAnsi="Times New Roman"/>
          <w:sz w:val="22"/>
          <w:szCs w:val="22"/>
          <w:color w:val="auto"/>
        </w:rPr>
        <w:t>Appendix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Special Provisions Regarding Cross-border Trade Financing</w:t>
      </w:r>
    </w:p>
    <w:p>
      <w:pPr>
        <w:spacing w:after="0" w:line="188" w:lineRule="exact"/>
        <w:rPr>
          <w:sz w:val="20"/>
          <w:szCs w:val="20"/>
          <w:color w:val="auto"/>
        </w:rPr>
      </w:pPr>
    </w:p>
    <w:p>
      <w:pPr>
        <w:jc w:val="both"/>
        <w:ind w:firstLine="332"/>
        <w:spacing w:after="0" w:line="266" w:lineRule="auto"/>
        <w:tabs>
          <w:tab w:leader="none" w:pos="5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Cross-border coordinated trade financing is the cross-border trade financing Party B applies for from Party A based on the authentic cross-border trade background between itself and its overseas counterpart, which will be provided collectively by Party A and an overseas entity of China Merchants Bank (hereinafter “the Coordinated Platform”).</w:t>
      </w:r>
    </w:p>
    <w:p>
      <w:pPr>
        <w:spacing w:after="0" w:line="135" w:lineRule="exact"/>
        <w:rPr>
          <w:rFonts w:ascii="Times New Roman" w:cs="Times New Roman" w:eastAsia="Times New Roman" w:hAnsi="Times New Roman"/>
          <w:sz w:val="18"/>
          <w:szCs w:val="18"/>
          <w:color w:val="auto"/>
        </w:rPr>
      </w:pPr>
    </w:p>
    <w:p>
      <w:pPr>
        <w:jc w:val="both"/>
        <w:ind w:firstLine="332"/>
        <w:spacing w:after="0" w:line="266" w:lineRule="auto"/>
        <w:tabs>
          <w:tab w:leader="none" w:pos="53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types of cross-border coordinated trade financing include: back-to-back letter of credit, entrusted issuing of letter of credit, entrusted overseas financing, certified note payment, overseas credit granting under letter of guarantee and cross-border trade financing express service. The meaning and business rules of each type of service will be agreed under separate service agreement.</w:t>
      </w:r>
    </w:p>
    <w:p>
      <w:pPr>
        <w:spacing w:after="0" w:line="135" w:lineRule="exact"/>
        <w:rPr>
          <w:rFonts w:ascii="Times New Roman" w:cs="Times New Roman" w:eastAsia="Times New Roman" w:hAnsi="Times New Roman"/>
          <w:sz w:val="18"/>
          <w:szCs w:val="18"/>
          <w:color w:val="auto"/>
        </w:rPr>
      </w:pPr>
    </w:p>
    <w:p>
      <w:pPr>
        <w:jc w:val="both"/>
        <w:ind w:firstLine="332"/>
        <w:spacing w:after="0" w:line="261" w:lineRule="auto"/>
        <w:tabs>
          <w:tab w:leader="none" w:pos="51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back-to-back letter of credit, the master letter of credit issued by Party A upon Party B’s application will directly occupy the Credit Line hereunder, and documentary credit or advance made by Party A (whether during or after the Credit Extending Period) under such master letter of credit for performing its obligations as the issuing bank and corresponding interests and fees thereof will constitute Party B’s financing indebtedness to Party A and will be included in the scope of credit guarantee.</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entrusted issuing of letter of credit/entrusted overseas financing, the letter of credit applied for/trade financing provided by overseas entity which Party A, upon Party B’s application, entrusts the Coordinated Platform to accept, will occupy the Credit Line hereunder. Where Party A makes import letter of credit collection payment or advance for outward payment under import collection to Party B’s benefit (whether during or after the Credit Extending Period), such payment or advance and related interests and fees thereof will directly constitute Party B’s financing indebtedness to Party A and included in the scope of credit guarantee.</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commercial paper guarantee, upon Party B’s application, Party A will directly occupy the Credit Line hereunder to provide guarantee for the commercial bills accepted by Party B. If Party B fails to make full payment for the bills on time, Party A shall have the right to made advances for the guaranteed bills, and such advances (whether made during or after the Credit Extending Period) and related interests and fees thereof will be included in the scope of credit guarantee.</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overseas crediting for letters of guarantee service, letters of guarantee/standby letters of credit issued by Party A upon Party B’s application will directly occupy the Credit Line hereunder. After the overseas company has transferred collection rights (non-claim rights) under the letters of guarantee to the Coordinated Platform, advances made by Party A (whether during or after the Credit Extending Period) upon claim from the Coordinated Platform made based on the letters of guarantee/standby letters of credit and related interests and fees thereof will directly constitute Party B’s financing indebtedness to Party A and will be included in the scope of the credit guarantee.</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cross-border trade financing express service, after Party A has approved Party B’s trade financing application, the trade financing directly provided to Party B by the Coordinated Platform will occupy the Credit Line hereunder. In case that Party B fails to pay off trade financing of the Coordinated Platform on time, Party A shall have the right to make the repayment in the form of documentary credit or advance, such b documentary credit or advance (whether made during or after the Credit Extending Period) and related interests and fees thereof will constitute Party B’s financing indebtedness to Party A and will be included in the scope of credit guarantee.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5" w:name="page286"/>
    <w:bookmarkEnd w:id="285"/>
    <w:p>
      <w:pPr>
        <w:ind w:left="340"/>
        <w:spacing w:after="0"/>
        <w:rPr>
          <w:sz w:val="20"/>
          <w:szCs w:val="20"/>
          <w:color w:val="auto"/>
        </w:rPr>
      </w:pPr>
      <w:r>
        <w:rPr>
          <w:rFonts w:ascii="Times New Roman" w:cs="Times New Roman" w:eastAsia="Times New Roman" w:hAnsi="Times New Roman"/>
          <w:sz w:val="22"/>
          <w:szCs w:val="22"/>
          <w:color w:val="auto"/>
        </w:rPr>
        <w:t>Appendix 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Special Provisions Regarding Buyer/Import Factoring</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Definitions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1.1 Buyer/import factoring service refers to comprehensive factoring services covering payment approval and accounts receivable collection &amp; management provided by Party A as the buyer/import factor for the seller/export factor after the latter has acquired accounts receivable against Party B as the accounts receivable debtor under the relevant commercial contract.</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buyer/import factoring service, in case Party B constitutes buyer credit risk, Party A shall assume payment approval liability for the buyer/export factor; in case any dispute arises during performance of the commercial contract, Party A shall have the right to transfer the acquired accounts receivable back to the seller/export factor.</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 The seller/export factor is the party who has concluded the factoring service agreement with the supplier/service provider (accounts receivable creditor) under the commercial contract and acquired accounts receivable held by the accounts receivable creditor. Party A can serve as both the buyer/import factor and the seller/export factor concurrently.</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1.3 A dispute arises when Buyer raises objection, counter-claim, offset or similar action against the accounts receivable acquired by Party A due to any dispute between the accounts receivable creditor and Party B concerning goods, services, invoices or other causes related to the commercial contract, </w:t>
      </w:r>
      <w:r>
        <w:rPr>
          <w:rFonts w:ascii="Times New Roman" w:cs="Times New Roman" w:eastAsia="Times New Roman" w:hAnsi="Times New Roman"/>
          <w:sz w:val="18"/>
          <w:szCs w:val="18"/>
          <w:b w:val="1"/>
          <w:bCs w:val="1"/>
          <w:color w:val="auto"/>
        </w:rPr>
        <w:t>or when any third party makes claim, applies for attachment, freezing or seizure or takes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similar actions against the accounts receivable under this Agreement; it will be deemed a dispute has arisen so long as the accounts receivable acquired by Party A cannot be fulfilled whether in whole or in part due to any reason other than credit risk of the buyer.</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1.4 Commercial contracts refer to transaction contracts concluded between Party B and the accounts receivable creditor for the trading of goods and/or services.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1.5 Under payment approval/payment guarantee, after Party B has constituted buyer credit risk, Party A as buyer/importer shall pay corresponding amount of accounts receivable to the seller/export factor within a certain time limit following maturity of the accounts receivable.</w:t>
      </w:r>
    </w:p>
    <w:p>
      <w:pPr>
        <w:spacing w:after="0" w:line="135" w:lineRule="exact"/>
        <w:rPr>
          <w:sz w:val="20"/>
          <w:szCs w:val="20"/>
          <w:color w:val="auto"/>
        </w:rPr>
      </w:pPr>
    </w:p>
    <w:p>
      <w:pPr>
        <w:jc w:val="both"/>
        <w:ind w:firstLine="332"/>
        <w:spacing w:after="0" w:line="266" w:lineRule="auto"/>
        <w:tabs>
          <w:tab w:leader="none" w:pos="51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Party B’s application, Party A agrees to provide buyer/import factoring service for Party B within the scope of the Credit Line, and the accounts receivable transferred from the seller/export factor shall subtract from/occupy the Credit Line under the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based on its amount.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amount paid by Party A as the buyer/import factor to fulfill its approved payment/guaranteed payment obligation and all associated fees will be deemed as credit facility issued to Party B under the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xml:space="preserve"> (at interest rate of / within 30 days from the date of issuance and </w:t>
      </w:r>
      <w:r>
        <w:rPr>
          <w:rFonts w:ascii="Times New Roman" w:cs="Times New Roman" w:eastAsia="Times New Roman" w:hAnsi="Times New Roman"/>
          <w:sz w:val="18"/>
          <w:szCs w:val="18"/>
          <w:b w:val="1"/>
          <w:bCs w:val="1"/>
          <w:color w:val="auto"/>
        </w:rPr>
        <w:t>at / afterwards</w:t>
      </w:r>
      <w:r>
        <w:rPr>
          <w:rFonts w:ascii="Times New Roman" w:cs="Times New Roman" w:eastAsia="Times New Roman" w:hAnsi="Times New Roman"/>
          <w:sz w:val="18"/>
          <w:szCs w:val="18"/>
          <w:color w:val="auto"/>
        </w:rPr>
        <w:t xml:space="preserve">), which will be included in the scope of credit guarantee provided by Party B. Party A shall have the right to take any measures agreed under the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xml:space="preserve"> to recover the approved payment/guaranteed payment from Party B. </w:t>
      </w:r>
      <w:r>
        <w:rPr>
          <w:rFonts w:ascii="Times New Roman" w:cs="Times New Roman" w:eastAsia="Times New Roman" w:hAnsi="Times New Roman"/>
          <w:sz w:val="18"/>
          <w:szCs w:val="18"/>
          <w:b w:val="1"/>
          <w:bCs w:val="1"/>
          <w:color w:val="auto"/>
        </w:rPr>
        <w:t>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long as the seller/export factor (whether it is Party A or not) has acquired accounts receivable within the Credit Extending Period, even though the approved payment obligation is fulfilled by Party A following expiration of the said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-580390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6" w:name="page287"/>
    <w:bookmarkEnd w:id="28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A shall still have the right to claim from Party B in accordance with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b w:val="1"/>
          <w:bCs w:val="1"/>
          <w:color w:val="auto"/>
        </w:rPr>
        <w:t xml:space="preserve"> and relevant commercial contract.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Buyer/import factoring fee</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Buyer/import factoring fee refers to a business management fee collected by Party A for the provision of buyer/import factoring service to Party B, which will be charged from Party B upon transfer settlement at a certain percentage of the amount of the accounts receivable; the specific rate standard will be reasonably determined by Party A in accordance with its business rules.</w:t>
      </w:r>
    </w:p>
    <w:p>
      <w:pPr>
        <w:spacing w:after="0" w:line="131" w:lineRule="exact"/>
        <w:rPr>
          <w:sz w:val="20"/>
          <w:szCs w:val="20"/>
          <w:color w:val="auto"/>
        </w:rPr>
      </w:pPr>
    </w:p>
    <w:p>
      <w:pPr>
        <w:jc w:val="both"/>
        <w:ind w:firstLine="332"/>
        <w:spacing w:after="0" w:line="262" w:lineRule="auto"/>
        <w:tabs>
          <w:tab w:leader="none" w:pos="531"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hereby gives up the right to raise objection to any dispute arising out of the performance of the commercial contract. Therefore, regardless if there is any other agreement, once Party B fails to make payment according to provisions of the commercial contract, it will be deemed that Party B has constituted buyer credit risk, and Party A will proceed to approve the payment, to which Party B has no objection.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23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7" w:name="page288"/>
    <w:bookmarkEnd w:id="287"/>
    <w:p>
      <w:pPr>
        <w:ind w:left="340"/>
        <w:spacing w:after="0"/>
        <w:rPr>
          <w:sz w:val="20"/>
          <w:szCs w:val="20"/>
          <w:color w:val="auto"/>
        </w:rPr>
      </w:pPr>
      <w:r>
        <w:rPr>
          <w:rFonts w:ascii="Times New Roman" w:cs="Times New Roman" w:eastAsia="Times New Roman" w:hAnsi="Times New Roman"/>
          <w:sz w:val="22"/>
          <w:szCs w:val="22"/>
          <w:color w:val="auto"/>
        </w:rPr>
        <w:t>Appendix 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Special Provisions Regarding Order Loan</w:t>
      </w:r>
    </w:p>
    <w:p>
      <w:pPr>
        <w:spacing w:after="0" w:line="188" w:lineRule="exact"/>
        <w:rPr>
          <w:sz w:val="20"/>
          <w:szCs w:val="20"/>
          <w:color w:val="auto"/>
        </w:rPr>
      </w:pPr>
    </w:p>
    <w:p>
      <w:pPr>
        <w:jc w:val="both"/>
        <w:ind w:firstLine="332"/>
        <w:spacing w:after="0" w:line="261" w:lineRule="auto"/>
        <w:tabs>
          <w:tab w:leader="none" w:pos="52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loan refers to a loan that Party A extends to Party B based on the commercial contract (or project contract) concluded between Party B and a downstream client (the payor), to be used by Party B for performing routine production and operation activities under the commercial contract (or project contract) and will be repaid by sales income (or project income) under the relevant contract as the first source of repayment.</w:t>
      </w:r>
    </w:p>
    <w:p>
      <w:pPr>
        <w:spacing w:after="0" w:line="139" w:lineRule="exact"/>
        <w:rPr>
          <w:rFonts w:ascii="Times New Roman" w:cs="Times New Roman" w:eastAsia="Times New Roman" w:hAnsi="Times New Roman"/>
          <w:sz w:val="18"/>
          <w:szCs w:val="18"/>
          <w:color w:val="auto"/>
        </w:rPr>
      </w:pPr>
    </w:p>
    <w:p>
      <w:pPr>
        <w:jc w:val="both"/>
        <w:ind w:firstLine="332"/>
        <w:spacing w:after="0" w:line="258" w:lineRule="auto"/>
        <w:tabs>
          <w:tab w:leader="none" w:pos="51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open a sales income account with Party A for commercial contracts (or project contracts). Sales income under all commercial contracts (project contracts) which have applied for order loan must be remitted directly to this special account, and may not be used or changed without Party A’s approval. Party B must notify the payor that this special account is the only account to receive sales income. Party A shall have the right to debit funds from the special account to pay for principals, interests, penalty interests and other related fees of the order loan financing.</w:t>
      </w:r>
    </w:p>
    <w:p>
      <w:pPr>
        <w:spacing w:after="0" w:line="140" w:lineRule="exact"/>
        <w:rPr>
          <w:rFonts w:ascii="Times New Roman" w:cs="Times New Roman" w:eastAsia="Times New Roman" w:hAnsi="Times New Roman"/>
          <w:sz w:val="18"/>
          <w:szCs w:val="18"/>
          <w:color w:val="auto"/>
        </w:rPr>
      </w:pPr>
    </w:p>
    <w:p>
      <w:pPr>
        <w:ind w:firstLine="332"/>
        <w:spacing w:after="0" w:line="284" w:lineRule="auto"/>
        <w:tabs>
          <w:tab w:leader="none" w:pos="52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any of the following situations, Party A may immediately suspend Party B’s utilization of Credit Line under the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and adopt corresponding breach remedies in accordance with the</w:t>
      </w:r>
      <w:r>
        <w:rPr>
          <w:rFonts w:ascii="Times New Roman" w:cs="Times New Roman" w:eastAsia="Times New Roman" w:hAnsi="Times New Roman"/>
          <w:sz w:val="18"/>
          <w:szCs w:val="18"/>
          <w:i w:val="1"/>
          <w:iCs w:val="1"/>
          <w:color w:val="auto"/>
        </w:rPr>
        <w:t xml:space="preserve"> Credit Agreement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3.1 Party B’s downstream client has been delinquent in payment for three times consecutively, and Party A reasonably believes that its financial condition has deteriorated to a degree not conducive to protecting Party A’s debt claim;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3.2 Party B’s supplier qualification has been canceled by its downstream client, or Party B fails to deliver goods to its downstream client on time, or quality of the goods supplied by Party B to its downstream client is unstable, or Party B fails to proceed with its works on schedule without approval of its downstream client, or Party B’s professional qualification is lowered to a degree not conforming to its downstream client’s requirements, or Party A reasonably believes that Party B has encountered operational difficulty or its financial condition has deteriorated, or total amount of payments from Party B’s downstream client has been lower than the total monthly payable amount due from Party B under relevant financing contract for three months consecutively, or the downstream client fails to make installment payment in accordance with relevant project contract for two times consecutively.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8" w:name="page289"/>
    <w:bookmarkEnd w:id="288"/>
    <w:p>
      <w:pPr>
        <w:ind w:left="340"/>
        <w:spacing w:after="0"/>
        <w:rPr>
          <w:sz w:val="20"/>
          <w:szCs w:val="20"/>
          <w:color w:val="auto"/>
        </w:rPr>
      </w:pPr>
      <w:r>
        <w:rPr>
          <w:rFonts w:ascii="Times New Roman" w:cs="Times New Roman" w:eastAsia="Times New Roman" w:hAnsi="Times New Roman"/>
          <w:sz w:val="22"/>
          <w:szCs w:val="22"/>
          <w:color w:val="auto"/>
        </w:rPr>
        <w:t>Appendix 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Special Provisions Regarding Commercial Acceptance Bills Guarantee</w:t>
      </w:r>
    </w:p>
    <w:p>
      <w:pPr>
        <w:spacing w:after="0" w:line="188" w:lineRule="exact"/>
        <w:rPr>
          <w:sz w:val="20"/>
          <w:szCs w:val="20"/>
          <w:color w:val="auto"/>
        </w:rPr>
      </w:pPr>
    </w:p>
    <w:p>
      <w:pPr>
        <w:jc w:val="both"/>
        <w:ind w:firstLine="332"/>
        <w:spacing w:after="0" w:line="258" w:lineRule="auto"/>
        <w:tabs>
          <w:tab w:leader="none" w:pos="517"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bills guarantee refers to the service by which Party A provides discount for the commercial acceptance bills accepted, endorsed or guaranteed by Party B or allows the bill holder to apply for discount from any branch of China Merchants Bank (hereinafter “Other Discount Acceptance Bank”). The bill holder (hereinafter “Discount Applicant”) may apply for discount from Party A or Other Discount Acceptance Banks by presenting the commercial acceptance bill. Such discount service will occupy a corresponding amount of the Credit Line hereunder.</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provision of acceptance discount service for commercial acceptance bills by Party A to Party B is the precondition for Other Discount Acceptance Banks to accept discount applications from the bill holder, Other Discount Acceptance Banks, after processing the discount, shall have the right to transfer the discounted bills to Party A; Party A shall be obliged to accept such transfer, and Party B has no objection to this provision.</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2.Commercial acceptance bills referred to hereunder include both paper commercial acceptance bills and electronic commercial acceptance bills (hereinafter “Electronic Commercial Bills”); the interest payment methods include interest payment by the buyer, interest payment by the seller, interest payment by other party, and interest payment by agreement.</w:t>
      </w:r>
    </w:p>
    <w:p>
      <w:pPr>
        <w:spacing w:after="0" w:line="149" w:lineRule="exact"/>
        <w:rPr>
          <w:sz w:val="20"/>
          <w:szCs w:val="20"/>
          <w:color w:val="auto"/>
        </w:rPr>
      </w:pPr>
    </w:p>
    <w:p>
      <w:pPr>
        <w:jc w:val="both"/>
        <w:ind w:firstLine="332"/>
        <w:spacing w:after="0" w:line="261" w:lineRule="auto"/>
        <w:tabs>
          <w:tab w:leader="none" w:pos="52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Credit Extending Period, Party B must open a commercial acceptance bill bond account with Party A (the account number will be the one generated or recorded by Party A’s system when the bond is deposited), and before the acceptance of each bill, deposit a certain amount of money into the bond account as per the percentage required by Party A to serve as the payment margin for the commercial accepted bills which are discounted or acquired from other Discount Acceptance Bank by Party A.</w:t>
      </w:r>
    </w:p>
    <w:p>
      <w:pPr>
        <w:spacing w:after="0" w:line="13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Party B is the acceptor of the commercial acceptance bill, it shall deposit full amount of payable bill into the bond account it opens with Party A before maturity of each commercial acceptance bill, to pay for the bill when it falls due.</w:t>
      </w:r>
    </w:p>
    <w:p>
      <w:pPr>
        <w:spacing w:after="0" w:line="121" w:lineRule="exact"/>
        <w:rPr>
          <w:sz w:val="20"/>
          <w:szCs w:val="20"/>
          <w:color w:val="auto"/>
        </w:rPr>
      </w:pPr>
    </w:p>
    <w:p>
      <w:pPr>
        <w:jc w:val="both"/>
        <w:ind w:right="20" w:firstLine="332"/>
        <w:spacing w:after="0" w:line="261" w:lineRule="auto"/>
        <w:tabs>
          <w:tab w:leader="none" w:pos="52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Credit Extending Period, the discount applicant may present the commercial acceptance bills accepted, endorsed or guaranteed by Party B directly to Party A for discount, or to another Discount Acceptance Bank for discount. Party A or the Other Discount Acceptance Bank shall have the right to examine the qualification of the discount applicant and requires Party B to verify and confirm, and decide at its sole discretion whether to provide discount or not.</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Other Discount Acceptance Bank has provided discount, it shall have the right to transfer the discounted commercial acceptance bills to Party A in accordance with applicable rules of China Merchants Bank. When Party A, after processing the discount or acquiring commercial acceptance bills from Other Discount Acceptance Bank, presents the bill to Party B for payment, Party B shall unconditionally make full payment for the payable bill on time.</w:t>
      </w:r>
    </w:p>
    <w:p>
      <w:pPr>
        <w:spacing w:after="0" w:line="139" w:lineRule="exact"/>
        <w:rPr>
          <w:sz w:val="20"/>
          <w:szCs w:val="20"/>
          <w:color w:val="auto"/>
        </w:rPr>
      </w:pPr>
    </w:p>
    <w:p>
      <w:pPr>
        <w:ind w:left="520" w:hanging="188"/>
        <w:spacing w:after="0"/>
        <w:tabs>
          <w:tab w:leader="none" w:pos="5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acceptance, guarantee, endorsement and discounting of each electronic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25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9" w:name="page290"/>
    <w:bookmarkEnd w:id="289"/>
    <w:p>
      <w:pPr>
        <w:jc w:val="both"/>
        <w:spacing w:after="0" w:line="258" w:lineRule="auto"/>
        <w:rPr>
          <w:sz w:val="20"/>
          <w:szCs w:val="20"/>
          <w:color w:val="auto"/>
        </w:rPr>
      </w:pPr>
      <w:r>
        <w:rPr>
          <w:rFonts w:ascii="Times New Roman" w:cs="Times New Roman" w:eastAsia="Times New Roman" w:hAnsi="Times New Roman"/>
          <w:sz w:val="18"/>
          <w:szCs w:val="18"/>
          <w:color w:val="auto"/>
        </w:rPr>
        <w:t>commercial bill shall be subject to the transaction information saved in the Commercial Paper Exchange System of China or Electronic Commercial Draft System or the customer statement or other transaction records produced or printed based on such transaction information. The information retained in the Commercial Paper Exchange System of China or the Electronic Commercial Draft System or other transaction records produced or printed based on such transaction information is an integral part of this Appendix and have the same legal effect as this Appendix, and Party B acknowledges its accuracy, authenticity and legality.</w:t>
      </w:r>
    </w:p>
    <w:p>
      <w:pPr>
        <w:spacing w:after="0" w:line="143" w:lineRule="exact"/>
        <w:rPr>
          <w:sz w:val="20"/>
          <w:szCs w:val="20"/>
          <w:color w:val="auto"/>
        </w:rPr>
      </w:pPr>
    </w:p>
    <w:p>
      <w:pPr>
        <w:jc w:val="both"/>
        <w:ind w:right="20" w:firstLine="332"/>
        <w:spacing w:after="0" w:line="266" w:lineRule="auto"/>
        <w:tabs>
          <w:tab w:leader="none" w:pos="51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arising out of or in connection with the underlying contract on the commercial acceptance bills for which Party A guarantees to discount within shall be resolved by Party B and the party concerned through negotiation, and Party B shall still have the obligation to deposit sufficient amount of security and bill amount on time in accordance with Article 3.</w:t>
      </w:r>
    </w:p>
    <w:p>
      <w:pPr>
        <w:spacing w:after="0" w:line="148" w:lineRule="exact"/>
        <w:rPr>
          <w:rFonts w:ascii="Times New Roman" w:cs="Times New Roman" w:eastAsia="Times New Roman" w:hAnsi="Times New Roman"/>
          <w:sz w:val="18"/>
          <w:szCs w:val="18"/>
          <w:color w:val="auto"/>
        </w:rPr>
      </w:pPr>
    </w:p>
    <w:p>
      <w:pPr>
        <w:jc w:val="both"/>
        <w:ind w:firstLine="332"/>
        <w:spacing w:after="0" w:line="255" w:lineRule="auto"/>
        <w:tabs>
          <w:tab w:leader="none" w:pos="54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Party A provides discount for the commercial bill accepted, endorsed or guaranteed by Party B or acquiring such commercial bill from Other Discount Acceptance Bank, if Party B or the bill payer fails to deposit sufficient amount for the commercial acceptance bill before it falls due, Party A shall have the right to directly take claim measures against Party B, including but not limited to debiting corresponding payment from any deposit account of Party B with China Merchants Bank. If Party A makes advance due to Party B’s short payment and the balance in Party B’s account balance insufficient to cover it, Party A shall have the right to collect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penalty interest from Party B at 5/10,000 of </w:t>
      </w:r>
      <w:r>
        <w:rPr>
          <w:rFonts w:ascii="Times New Roman" w:cs="Times New Roman" w:eastAsia="Times New Roman" w:hAnsi="Times New Roman"/>
          <w:sz w:val="18"/>
          <w:szCs w:val="18"/>
          <w:color w:val="auto"/>
        </w:rPr>
        <w:t>the advanced amount</w:t>
      </w:r>
      <w:r>
        <w:rPr>
          <w:rFonts w:ascii="Times New Roman" w:cs="Times New Roman" w:eastAsia="Times New Roman" w:hAnsi="Times New Roman"/>
          <w:sz w:val="18"/>
          <w:szCs w:val="18"/>
          <w:b w:val="1"/>
          <w:bCs w:val="1"/>
          <w:color w:val="auto"/>
        </w:rPr>
        <w:t xml:space="preserve"> per day </w:t>
      </w:r>
      <w:r>
        <w:rPr>
          <w:rFonts w:ascii="Times New Roman" w:cs="Times New Roman" w:eastAsia="Times New Roman" w:hAnsi="Times New Roman"/>
          <w:sz w:val="18"/>
          <w:szCs w:val="18"/>
          <w:color w:val="auto"/>
        </w:rPr>
        <w:t>in accordance with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Settlement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0" w:name="page291"/>
    <w:bookmarkEnd w:id="290"/>
    <w:p>
      <w:pPr>
        <w:ind w:left="340"/>
        <w:spacing w:after="0"/>
        <w:rPr>
          <w:sz w:val="20"/>
          <w:szCs w:val="20"/>
          <w:color w:val="auto"/>
        </w:rPr>
      </w:pPr>
      <w:r>
        <w:rPr>
          <w:rFonts w:ascii="Times New Roman" w:cs="Times New Roman" w:eastAsia="Times New Roman" w:hAnsi="Times New Roman"/>
          <w:sz w:val="22"/>
          <w:szCs w:val="22"/>
          <w:color w:val="auto"/>
        </w:rPr>
        <w:t>Appendix 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Special Provisions Regarding Derivative Transactions</w:t>
      </w:r>
    </w:p>
    <w:p>
      <w:pPr>
        <w:spacing w:after="0" w:line="188" w:lineRule="exact"/>
        <w:rPr>
          <w:sz w:val="20"/>
          <w:szCs w:val="20"/>
          <w:color w:val="auto"/>
        </w:rPr>
      </w:pPr>
    </w:p>
    <w:p>
      <w:pPr>
        <w:jc w:val="both"/>
        <w:ind w:firstLine="332"/>
        <w:spacing w:after="0" w:line="255" w:lineRule="auto"/>
        <w:tabs>
          <w:tab w:leader="none" w:pos="51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transactions processed by Party A upon Party B’s application may occupy the Credit Line by a certain percentage of the nominal principal of transaction/transaction amount, or in the case of floating loss on a derivative transaction, Party A may, in accordance with specific agreement between the Parties, occupy additional credit line of Party B (</w:t>
      </w:r>
      <w:r>
        <w:rPr>
          <w:rFonts w:ascii="Times New Roman" w:cs="Times New Roman" w:eastAsia="Times New Roman" w:hAnsi="Times New Roman"/>
          <w:sz w:val="18"/>
          <w:szCs w:val="18"/>
          <w:b w:val="1"/>
          <w:bCs w:val="1"/>
          <w:color w:val="auto"/>
        </w:rPr>
        <w:t>upon the occurrence of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transaction, Party A </w:t>
      </w:r>
      <w:r>
        <w:rPr>
          <w:rFonts w:ascii="Times New Roman" w:cs="Times New Roman" w:eastAsia="Times New Roman" w:hAnsi="Times New Roman"/>
          <w:sz w:val="18"/>
          <w:szCs w:val="18"/>
          <w:color w:val="auto"/>
        </w:rPr>
        <w:t>will determine the credit line amount</w:t>
      </w:r>
      <w:r>
        <w:rPr>
          <w:rFonts w:ascii="Times New Roman" w:cs="Times New Roman" w:eastAsia="Times New Roman" w:hAnsi="Times New Roman"/>
          <w:sz w:val="18"/>
          <w:szCs w:val="18"/>
          <w:b w:val="1"/>
          <w:bCs w:val="1"/>
          <w:color w:val="auto"/>
        </w:rPr>
        <w:t xml:space="preserve"> to be taken up based on the type, duration and risk of such transaction and the risk coefficient of the transaction corresponding to the deducted credit line</w:t>
      </w:r>
      <w:r>
        <w:rPr>
          <w:rFonts w:ascii="Times New Roman" w:cs="Times New Roman" w:eastAsia="Times New Roman" w:hAnsi="Times New Roman"/>
          <w:sz w:val="18"/>
          <w:szCs w:val="18"/>
          <w:color w:val="auto"/>
        </w:rPr>
        <w:t>); the actual credit line amount taken up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contents recorded on the credit line occupation notice and/or transaction confirmation letter/verification letter and other related transaction documents issued by Party A.</w:t>
      </w:r>
    </w:p>
    <w:p>
      <w:pPr>
        <w:spacing w:after="0" w:line="144" w:lineRule="exact"/>
        <w:rPr>
          <w:rFonts w:ascii="Times New Roman" w:cs="Times New Roman" w:eastAsia="Times New Roman" w:hAnsi="Times New Roman"/>
          <w:sz w:val="18"/>
          <w:szCs w:val="18"/>
          <w:color w:val="auto"/>
        </w:rPr>
      </w:pPr>
    </w:p>
    <w:p>
      <w:pPr>
        <w:jc w:val="both"/>
        <w:ind w:right="20" w:firstLine="332"/>
        <w:spacing w:after="0" w:line="268" w:lineRule="auto"/>
        <w:tabs>
          <w:tab w:leader="none" w:pos="542"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derivative transactions that still have balances or incur losses during the Credit Extending Period, whether the transactions arise during or after the Credit Extending Period, will occupy the Credit Line in accordance with the preceding provision.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1" w:name="page292"/>
    <w:bookmarkEnd w:id="291"/>
    <w:p>
      <w:pPr>
        <w:ind w:left="340"/>
        <w:spacing w:after="0"/>
        <w:rPr>
          <w:sz w:val="20"/>
          <w:szCs w:val="20"/>
          <w:color w:val="auto"/>
        </w:rPr>
      </w:pPr>
      <w:r>
        <w:rPr>
          <w:rFonts w:ascii="Times New Roman" w:cs="Times New Roman" w:eastAsia="Times New Roman" w:hAnsi="Times New Roman"/>
          <w:sz w:val="22"/>
          <w:szCs w:val="22"/>
          <w:color w:val="auto"/>
        </w:rPr>
        <w:t>Appendix 6</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Special Provisions Regarding Gold Lease</w:t>
      </w:r>
    </w:p>
    <w:p>
      <w:pPr>
        <w:spacing w:after="0" w:line="188" w:lineRule="exact"/>
        <w:rPr>
          <w:sz w:val="20"/>
          <w:szCs w:val="20"/>
          <w:color w:val="auto"/>
        </w:rPr>
      </w:pPr>
    </w:p>
    <w:p>
      <w:pPr>
        <w:jc w:val="both"/>
        <w:ind w:firstLine="332"/>
        <w:spacing w:after="0" w:line="266" w:lineRule="auto"/>
        <w:tabs>
          <w:tab w:leader="none" w:pos="51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Lease” service refers to the service by which Party A leases physical gold to Party B and Party B shall return to Party A equivalent quantity of gold of same nature and attribute upon expiration of the lease term and shall pay rents in Chinese Renminbi (RMB) to Party A on schedule.</w:t>
      </w:r>
    </w:p>
    <w:p>
      <w:pPr>
        <w:spacing w:after="0" w:line="135" w:lineRule="exact"/>
        <w:rPr>
          <w:rFonts w:ascii="Times New Roman" w:cs="Times New Roman" w:eastAsia="Times New Roman" w:hAnsi="Times New Roman"/>
          <w:sz w:val="18"/>
          <w:szCs w:val="18"/>
          <w:color w:val="auto"/>
        </w:rPr>
      </w:pPr>
    </w:p>
    <w:p>
      <w:pPr>
        <w:jc w:val="both"/>
        <w:ind w:firstLine="332"/>
        <w:spacing w:after="0" w:line="266" w:lineRule="auto"/>
        <w:tabs>
          <w:tab w:leader="none" w:pos="51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may provide gold lease service for Party B upon Party B’s application within the Credit Extending Period and the scope of the Credit Line; physical gold leased by Party A will occupy amount of the Credit Line by a corresponding value agreed under the gold leasing agreement signed by the Parties and will constitute Party B’s debts to Party A.</w:t>
      </w: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Party B’s Statement:</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All terms and conditions of this Agreement have been fully negotiated by the Parties. Party A has drawn Party B’s special attention to the provisions concerning the exemption or alleviation of Party A’s liabilities and other provisions in which Party B has substantial interest, and has made explanations for the above provisions at the request of Party B. Party B has obtained a comprehensive and accurate understanding of the same. All signatory parties’ understandings of the terms and conditions of this Agreement are fully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28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t>(The following is for signature of th</w:t>
      </w:r>
      <w:r>
        <w:rPr>
          <w:rFonts w:ascii="Times New Roman" w:cs="Times New Roman" w:eastAsia="Times New Roman" w:hAnsi="Times New Roman"/>
          <w:sz w:val="18"/>
          <w:szCs w:val="18"/>
          <w:i w:val="1"/>
          <w:iCs w:val="1"/>
          <w:color w:val="auto"/>
        </w:rPr>
        <w:t>e Credit Agreement</w:t>
      </w:r>
      <w:r>
        <w:rPr>
          <w:rFonts w:ascii="Times New Roman" w:cs="Times New Roman" w:eastAsia="Times New Roman" w:hAnsi="Times New Roman"/>
          <w:sz w:val="18"/>
          <w:szCs w:val="18"/>
          <w:color w:val="auto"/>
        </w:rPr>
        <w:t xml:space="preserve"> No.: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755XY2023002951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Applicable to working capital loan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requiring a separate loan contract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China Merchants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Bank Shenzhen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Responsible Person or Authorized Agent (Bank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u w:val="single" w:color="auto"/>
          <w:color w:val="auto"/>
        </w:rPr>
        <w:t>Building of China Merchants Bank Shenzhen Branch,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2016, Shennan Avenue, Lianhua Street Futian District, Shenzhen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Municipality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Special Seal for Contract of China Merchants Bank Shenzhen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Wang Xiaoqing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Shenzhen Xunlei Network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Representative/Principal Responsible Person or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(Signature/Name Seal):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Seal):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(Signature/Name 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u w:val="single" w:color="auto"/>
          <w:color w:val="auto"/>
        </w:rPr>
        <w:t>Xunlei Tower, 3709 Baishi Road, Nanshan District,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Shenzhen, Guangdong Province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Contact mobile number: </w:t>
      </w:r>
      <w:r>
        <w:rPr>
          <w:rFonts w:ascii="Times New Roman" w:cs="Times New Roman" w:eastAsia="Times New Roman" w:hAnsi="Times New Roman"/>
          <w:sz w:val="18"/>
          <w:szCs w:val="18"/>
          <w:u w:val="single" w:color="auto"/>
          <w:color w:val="auto"/>
        </w:rPr>
        <w:t>18607550390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WeChat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-7620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Signing date: August 13,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Shenzhen Xunlei Network Technology Co., Ltd.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Wu Kening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29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4.31</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 BC2024052900000458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1388745</wp:posOffset>
            </wp:positionV>
            <wp:extent cx="2623185" cy="8743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262318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8"/>
          <w:szCs w:val="28"/>
          <w:color w:val="auto"/>
        </w:rPr>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1033145</wp:posOffset>
            </wp:positionV>
            <wp:extent cx="629221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33" w:right="999" w:bottom="1440" w:gutter="0" w:footer="0" w:header="0"/>
        </w:sectPr>
      </w:pPr>
    </w:p>
    <w:bookmarkStart w:id="294" w:name="page295"/>
    <w:bookmarkEnd w:id="294"/>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color w:val="auto"/>
        </w:rPr>
        <w:t>Credit Line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Shenzhen Xunlei Networking Technologies Co.,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referred to as “Party 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Main business site: </w:t>
      </w:r>
      <w:r>
        <w:rPr>
          <w:rFonts w:ascii="Times New Roman" w:cs="Times New Roman" w:eastAsia="Times New Roman" w:hAnsi="Times New Roman"/>
          <w:sz w:val="18"/>
          <w:szCs w:val="18"/>
          <w:color w:val="auto"/>
        </w:rPr>
        <w:t>21/F, Xunlei Plaza, Baishi Road, Nanshan District, Shenzhen, China</w:t>
      </w:r>
    </w:p>
    <w:p>
      <w:pPr>
        <w:spacing w:after="0" w:line="6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 Xie Xiangyun</w:t>
      </w:r>
      <w:r>
        <w:rPr>
          <w:sz w:val="20"/>
          <w:szCs w:val="20"/>
          <w:color w:val="auto"/>
        </w:rPr>
        <w:tab/>
      </w:r>
      <w:r>
        <w:rPr>
          <w:rFonts w:ascii="Times New Roman" w:cs="Times New Roman" w:eastAsia="Times New Roman" w:hAnsi="Times New Roman"/>
          <w:sz w:val="18"/>
          <w:szCs w:val="18"/>
          <w:b w:val="1"/>
          <w:bCs w:val="1"/>
          <w:color w:val="auto"/>
        </w:rPr>
        <w:t>Tel</w:t>
      </w:r>
      <w:r>
        <w:rPr>
          <w:rFonts w:ascii="Times New Roman" w:cs="Times New Roman" w:eastAsia="Times New Roman" w:hAnsi="Times New Roman"/>
          <w:sz w:val="18"/>
          <w:szCs w:val="18"/>
          <w:color w:val="auto"/>
        </w:rPr>
        <w:t>.: 18607550390</w:t>
      </w:r>
    </w:p>
    <w:p>
      <w:pPr>
        <w:spacing w:after="0" w:line="67"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18"/>
          <w:szCs w:val="18"/>
          <w:color w:val="auto"/>
        </w:rPr>
        <w:t>Fax: /</w:t>
      </w:r>
      <w:r>
        <w:rPr>
          <w:sz w:val="20"/>
          <w:szCs w:val="20"/>
          <w:color w:val="auto"/>
        </w:rPr>
        <w:tab/>
      </w:r>
      <w:r>
        <w:rPr>
          <w:rFonts w:ascii="Times New Roman" w:cs="Times New Roman" w:eastAsia="Times New Roman" w:hAnsi="Times New Roman"/>
          <w:sz w:val="18"/>
          <w:szCs w:val="18"/>
          <w:color w:val="auto"/>
        </w:rPr>
        <w:t>Email: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Bank: Shanghai Pudong Development Bank Co., Ltd., </w:t>
      </w:r>
      <w:r>
        <w:rPr>
          <w:rFonts w:ascii="Times New Roman" w:cs="Times New Roman" w:eastAsia="Times New Roman" w:hAnsi="Times New Roman"/>
          <w:sz w:val="18"/>
          <w:szCs w:val="18"/>
          <w:b w:val="1"/>
          <w:bCs w:val="1"/>
          <w:u w:val="single" w:color="auto"/>
          <w:color w:val="auto"/>
        </w:rPr>
        <w:t>Shenzhen Branch</w:t>
      </w:r>
      <w:r>
        <w:rPr>
          <w:rFonts w:ascii="Times New Roman" w:cs="Times New Roman" w:eastAsia="Times New Roman" w:hAnsi="Times New Roman"/>
          <w:sz w:val="18"/>
          <w:szCs w:val="18"/>
          <w:b w:val="1"/>
          <w:bCs w:val="1"/>
          <w:color w:val="auto"/>
        </w:rPr>
        <w:t xml:space="preserve"> (hereinafter referred to as “Party B”)</w:t>
      </w:r>
    </w:p>
    <w:p>
      <w:pPr>
        <w:spacing w:after="0" w:line="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Main business site: </w:t>
      </w:r>
      <w:r>
        <w:rPr>
          <w:rFonts w:ascii="Times New Roman" w:cs="Times New Roman" w:eastAsia="Times New Roman" w:hAnsi="Times New Roman"/>
          <w:sz w:val="18"/>
          <w:szCs w:val="18"/>
          <w:color w:val="auto"/>
        </w:rPr>
        <w:t>Pudong Development Bank Building, No. 88 Pucheng Road, Tianxin Community, Sungang Street, Luohu District,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Shenzhen</w:t>
      </w:r>
    </w:p>
    <w:p>
      <w:pPr>
        <w:spacing w:after="0" w:line="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 Liu Yang</w:t>
      </w:r>
      <w:r>
        <w:rPr>
          <w:sz w:val="20"/>
          <w:szCs w:val="20"/>
          <w:color w:val="auto"/>
        </w:rPr>
        <w:tab/>
      </w:r>
      <w:r>
        <w:rPr>
          <w:rFonts w:ascii="Times New Roman" w:cs="Times New Roman" w:eastAsia="Times New Roman" w:hAnsi="Times New Roman"/>
          <w:sz w:val="18"/>
          <w:szCs w:val="18"/>
          <w:b w:val="1"/>
          <w:bCs w:val="1"/>
          <w:color w:val="auto"/>
        </w:rPr>
        <w:t>Tel.</w:t>
      </w:r>
      <w:r>
        <w:rPr>
          <w:rFonts w:ascii="Times New Roman" w:cs="Times New Roman" w:eastAsia="Times New Roman" w:hAnsi="Times New Roman"/>
          <w:sz w:val="18"/>
          <w:szCs w:val="18"/>
          <w:color w:val="auto"/>
        </w:rPr>
        <w:t>:  0755-81117900</w:t>
      </w:r>
    </w:p>
    <w:p>
      <w:pPr>
        <w:spacing w:after="0" w:line="2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relevant laws and regulations, the following agreement (hereinafter referred to as “this Agreement”) is made and entered into by and between Party A and Party B on the basis of equality, mutual benefits and voluntariness after reaching consensus via negotiation:</w:t>
      </w:r>
    </w:p>
    <w:p>
      <w:pPr>
        <w:spacing w:after="0" w:line="1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1 General Terms and Conditions</w:t>
      </w:r>
    </w:p>
    <w:p>
      <w:pPr>
        <w:spacing w:after="0" w:line="185" w:lineRule="exact"/>
        <w:rPr>
          <w:sz w:val="20"/>
          <w:szCs w:val="20"/>
          <w:color w:val="auto"/>
        </w:rPr>
      </w:pPr>
    </w:p>
    <w:p>
      <w:pPr>
        <w:jc w:val="both"/>
        <w:ind w:firstLine="332"/>
        <w:spacing w:after="0" w:line="268" w:lineRule="auto"/>
        <w:tabs>
          <w:tab w:leader="none" w:pos="504"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Refers to any or all documents signed by and between Party A and Party B within the term of availability,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on change of credit line (in the form of Appendix 1) and accompanying financing documents, they shall serve as an indispensable part of this Agreement and shall be read together with this Agreement.</w:t>
      </w:r>
    </w:p>
    <w:p>
      <w:pPr>
        <w:spacing w:after="0" w:line="1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Where there is any inconsistency between this Agreement (including supplemental agreements) and the accompanying financing documents, the latter shall prevail.</w:t>
      </w:r>
    </w:p>
    <w:p>
      <w:pPr>
        <w:spacing w:after="0" w:line="131" w:lineRule="exact"/>
        <w:rPr>
          <w:sz w:val="20"/>
          <w:szCs w:val="20"/>
          <w:color w:val="auto"/>
        </w:rPr>
      </w:pPr>
    </w:p>
    <w:p>
      <w:pPr>
        <w:jc w:val="both"/>
        <w:ind w:firstLine="332"/>
        <w:spacing w:after="0" w:line="255" w:lineRule="auto"/>
        <w:tabs>
          <w:tab w:leader="none" w:pos="504"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Line</w:t>
      </w:r>
      <w:r>
        <w:rPr>
          <w:rFonts w:ascii="Times New Roman" w:cs="Times New Roman" w:eastAsia="Times New Roman" w:hAnsi="Times New Roman"/>
          <w:sz w:val="18"/>
          <w:szCs w:val="18"/>
          <w:color w:val="auto"/>
        </w:rPr>
        <w:t>: For the purpose of this Agreement, the term of availability refers to the valid term during which Party B grants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line to Party A pursuant to the provisions of the </w:t>
      </w:r>
      <w:r>
        <w:rPr>
          <w:rFonts w:ascii="Times New Roman" w:cs="Times New Roman" w:eastAsia="Times New Roman" w:hAnsi="Times New Roman"/>
          <w:sz w:val="18"/>
          <w:szCs w:val="18"/>
          <w:i w:val="1"/>
          <w:iCs w:val="1"/>
          <w:color w:val="auto"/>
        </w:rPr>
        <w:t>Commercial Terms (Financing Credit Line Form)</w:t>
      </w:r>
      <w:r>
        <w:rPr>
          <w:rFonts w:ascii="Times New Roman" w:cs="Times New Roman" w:eastAsia="Times New Roman" w:hAnsi="Times New Roman"/>
          <w:sz w:val="18"/>
          <w:szCs w:val="18"/>
          <w:color w:val="auto"/>
        </w:rPr>
        <w:t xml:space="preserve"> (Part 2 to this Agreement) or any agreement on change of credit line, and a period for which Party A applies for use of the credit line, rather than a debt performance period; the debt performance periods for various businesses hereunder shall be mutually agreed in the respective accompanying financing documents or commitment documents issued externally. It shall be the term of availability specified in the </w:t>
      </w:r>
      <w:r>
        <w:rPr>
          <w:rFonts w:ascii="Times New Roman" w:cs="Times New Roman" w:eastAsia="Times New Roman" w:hAnsi="Times New Roman"/>
          <w:sz w:val="18"/>
          <w:szCs w:val="18"/>
          <w:i w:val="1"/>
          <w:iCs w:val="1"/>
          <w:color w:val="auto"/>
        </w:rPr>
        <w:t>Financing Credit Line Form</w:t>
      </w:r>
      <w:r>
        <w:rPr>
          <w:rFonts w:ascii="Times New Roman" w:cs="Times New Roman" w:eastAsia="Times New Roman" w:hAnsi="Times New Roman"/>
          <w:sz w:val="18"/>
          <w:szCs w:val="18"/>
          <w:color w:val="auto"/>
        </w:rPr>
        <w:t xml:space="preserve"> (Part 2 to this Agreement) or the term of availability explicitly specified in any valid agreement on change of credit line concluded by and between Party A and Party B, whichever is signed later. Party A shall apply to Party B for use of the credit line within the term of availability. Where Party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295" w:name="page296"/>
    <w:bookmarkEnd w:id="295"/>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submits an application beyond the term stated above, Party B may refuse such application no matter whether the credit line has been fully drawn down.</w:t>
      </w:r>
    </w:p>
    <w:p>
      <w:pPr>
        <w:spacing w:after="0" w:line="117" w:lineRule="exact"/>
        <w:rPr>
          <w:sz w:val="20"/>
          <w:szCs w:val="20"/>
          <w:color w:val="auto"/>
        </w:rPr>
      </w:pPr>
    </w:p>
    <w:p>
      <w:pPr>
        <w:jc w:val="both"/>
        <w:ind w:firstLine="332"/>
        <w:spacing w:after="0" w:line="259" w:lineRule="auto"/>
        <w:tabs>
          <w:tab w:leader="none" w:pos="504"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Line Change</w:t>
      </w:r>
      <w:r>
        <w:rPr>
          <w:rFonts w:ascii="Times New Roman" w:cs="Times New Roman" w:eastAsia="Times New Roman" w:hAnsi="Times New Roman"/>
          <w:sz w:val="18"/>
          <w:szCs w:val="18"/>
          <w:color w:val="auto"/>
        </w:rPr>
        <w:t>: In case of any discrepancy between the terms stated herein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Financing Credit Line Form</w:t>
      </w:r>
      <w:r>
        <w:rPr>
          <w:rFonts w:ascii="Times New Roman" w:cs="Times New Roman" w:eastAsia="Times New Roman" w:hAnsi="Times New Roman"/>
          <w:sz w:val="18"/>
          <w:szCs w:val="18"/>
          <w:color w:val="auto"/>
        </w:rPr>
        <w:t>, the latter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amendment to the </w:t>
      </w:r>
      <w:r>
        <w:rPr>
          <w:rFonts w:ascii="Times New Roman" w:cs="Times New Roman" w:eastAsia="Times New Roman" w:hAnsi="Times New Roman"/>
          <w:sz w:val="18"/>
          <w:szCs w:val="18"/>
          <w:i w:val="1"/>
          <w:iCs w:val="1"/>
          <w:color w:val="auto"/>
        </w:rPr>
        <w:t>Financing Credit Line Form</w:t>
      </w:r>
      <w:r>
        <w:rPr>
          <w:rFonts w:ascii="Times New Roman" w:cs="Times New Roman" w:eastAsia="Times New Roman" w:hAnsi="Times New Roman"/>
          <w:sz w:val="18"/>
          <w:szCs w:val="18"/>
          <w:color w:val="auto"/>
        </w:rPr>
        <w:t xml:space="preserve"> made by Party A and Party B by an agreement on credit line change from time to time) shall prevail. If any accompanying financing document concluded by and between Party A and Party B within the term of availability conflicts with the terms of this Agreement, the former shall be applicable to the business involved in such accompanying financing document.</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regulations above, if Party B believes that it is necessary, it can, for the purpose of ensuring the safety of creditor’s rights, inform Party A that the facility under any accompanying financing document becomes mature in advance. In such case, Party A shall repay the financing amount immediately. For the L/C, L/G/SLC, bank acceptance and other business recognized by Party B, Party A shall make up the margin to 100% immediately.</w:t>
      </w:r>
    </w:p>
    <w:p>
      <w:pPr>
        <w:spacing w:after="0" w:line="135" w:lineRule="exact"/>
        <w:rPr>
          <w:sz w:val="20"/>
          <w:szCs w:val="20"/>
          <w:color w:val="auto"/>
        </w:rPr>
      </w:pPr>
    </w:p>
    <w:p>
      <w:pPr>
        <w:jc w:val="both"/>
        <w:ind w:firstLine="332"/>
        <w:spacing w:after="0" w:line="256" w:lineRule="auto"/>
        <w:tabs>
          <w:tab w:leader="none" w:pos="517"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As per the provisions of this Agreement and any accompanying financing document, Party A can, within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and term of availability, apply to Party B for credit financing (collectively known as “financing” herein). The specific applicable financing variety shall be subject to the financing credit line form. Party B’s commitment to the financing amount hereunder is a commitment that is unconditionally revocable at any time, that is, Party B has the right to unilaterally revoke the loan commitment at any time without prior notice, because of changes in laws, regulations or policies, restrictions from the government’s monetary policy or financial regulatory policy, or other reasons such as market conditions, fund position and financial cost, Party B’s own business needs, or deterioration of Party A’s credit standing. Party B may cancel, freeze or adjust the credit line at any time.</w:t>
      </w:r>
    </w:p>
    <w:p>
      <w:pPr>
        <w:spacing w:after="0" w:line="142"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3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Accompanying Financing Documents</w:t>
      </w:r>
      <w:r>
        <w:rPr>
          <w:rFonts w:ascii="Times New Roman" w:cs="Times New Roman" w:eastAsia="Times New Roman" w:hAnsi="Times New Roman"/>
          <w:sz w:val="18"/>
          <w:szCs w:val="18"/>
          <w:color w:val="auto"/>
        </w:rPr>
        <w:t>. For the purpose of this Agreement, accompanying financing documents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signed by Party A, including but not limited to:</w:t>
      </w:r>
    </w:p>
    <w:p>
      <w:pPr>
        <w:spacing w:after="0" w:line="132" w:lineRule="exact"/>
        <w:rPr>
          <w:sz w:val="20"/>
          <w:szCs w:val="20"/>
          <w:color w:val="auto"/>
        </w:rPr>
      </w:pPr>
    </w:p>
    <w:p>
      <w:pPr>
        <w:ind w:firstLine="332"/>
        <w:spacing w:after="0" w:line="282" w:lineRule="auto"/>
        <w:tabs>
          <w:tab w:leader="none" w:pos="59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such documents refer to any other loan documents that may be signed with Party A, including contract on working capital loan and contract on fixed assets loan;</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59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bill discounting, such documents refer to agreement on notes discounted and any other documents that may be signed with Party A.</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5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guaranteed discounting of commercial acceptance bills, such documents refer to the agreement on commercial acceptance bill discounting and any other documents that may be signed with Party A.</w:t>
      </w:r>
    </w:p>
    <w:p>
      <w:pPr>
        <w:spacing w:after="0" w:line="134" w:lineRule="exact"/>
        <w:rPr>
          <w:rFonts w:ascii="Times New Roman" w:cs="Times New Roman" w:eastAsia="Times New Roman" w:hAnsi="Times New Roman"/>
          <w:sz w:val="18"/>
          <w:szCs w:val="18"/>
          <w:color w:val="auto"/>
        </w:rPr>
      </w:pPr>
    </w:p>
    <w:p>
      <w:pPr>
        <w:ind w:right="20" w:firstLine="332"/>
        <w:spacing w:after="0" w:line="282" w:lineRule="auto"/>
        <w:tabs>
          <w:tab w:leader="none" w:pos="59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factorage financing, such documents refer to the agreement on factorage financing and any other documents that may be signed with Party A.</w:t>
      </w:r>
    </w:p>
    <w:p>
      <w:pPr>
        <w:spacing w:after="0" w:line="121" w:lineRule="exact"/>
        <w:rPr>
          <w:rFonts w:ascii="Times New Roman" w:cs="Times New Roman" w:eastAsia="Times New Roman" w:hAnsi="Times New Roman"/>
          <w:sz w:val="18"/>
          <w:szCs w:val="18"/>
          <w:color w:val="auto"/>
        </w:rPr>
      </w:pPr>
    </w:p>
    <w:p>
      <w:pPr>
        <w:jc w:val="both"/>
        <w:ind w:firstLine="332"/>
        <w:spacing w:after="0" w:line="266" w:lineRule="auto"/>
        <w:tabs>
          <w:tab w:leader="none" w:pos="58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L/C (including domestic L/C) export bill purchase and outward bills purchased under collection, such documents refer to the agreement on export bill purchase and outward bills purchased under collection and any other documents that may be signed with Party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296" w:name="page297"/>
    <w:bookmarkEnd w:id="296"/>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ind w:firstLine="332"/>
        <w:spacing w:after="0" w:line="282" w:lineRule="auto"/>
        <w:tabs>
          <w:tab w:leader="none" w:pos="62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L/C advance against inward documentary bills, such documents refer to the agreement on advance against inward documentary bills and any other documents that may be signed with Party A.</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packing loan, such documents refer to the agreement on packing loan and any other documents that may be signed with Party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spacing w:after="0" w:line="179" w:lineRule="exact"/>
        <w:rPr>
          <w:rFonts w:ascii="Times New Roman" w:cs="Times New Roman" w:eastAsia="Times New Roman" w:hAnsi="Times New Roman"/>
          <w:sz w:val="18"/>
          <w:szCs w:val="18"/>
          <w:color w:val="auto"/>
        </w:rPr>
      </w:pPr>
    </w:p>
    <w:p>
      <w:pPr>
        <w:ind w:firstLine="332"/>
        <w:spacing w:after="0" w:line="282" w:lineRule="auto"/>
        <w:tabs>
          <w:tab w:leader="none" w:pos="59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opening of L/C, such documents refer to the agreement on the opening of L/C and any other documents that may be signed with Party A.</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opening of L/G and SLC, such documents refer to the agreement on the opening of L/G and SLC.</w:t>
      </w:r>
    </w:p>
    <w:p>
      <w:pPr>
        <w:spacing w:after="0" w:line="184" w:lineRule="exact"/>
        <w:rPr>
          <w:rFonts w:ascii="Times New Roman" w:cs="Times New Roman" w:eastAsia="Times New Roman" w:hAnsi="Times New Roman"/>
          <w:sz w:val="18"/>
          <w:szCs w:val="18"/>
          <w:color w:val="auto"/>
        </w:rPr>
      </w:pPr>
    </w:p>
    <w:p>
      <w:pPr>
        <w:ind w:firstLine="332"/>
        <w:spacing w:after="0" w:line="282" w:lineRule="auto"/>
        <w:tabs>
          <w:tab w:leader="none" w:pos="6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opening of bank acceptance, such documents refer to the agreement on the opening of bank acceptance and any other documents that may be signed with Party A.</w:t>
      </w:r>
    </w:p>
    <w:p>
      <w:pPr>
        <w:spacing w:after="0" w:line="134"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financing documents signed by and between Party A and Party B.</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Party A’s application related to the use of credit line, Party B shall release the fund to Party A according to the conditions stipulated in this Agreement and accompanying financing documents and/or issue a letter of commitment at the request of Party A as long as the application satisfies the provisions of this Agreement and Party B. However, Party B shall not cancel or change the credit application/agreement that it has signed or submitted; otherwise, Party A shall pay Party B’s costs, fees and losses caused by its cancellation or change of application/agreement.</w:t>
      </w:r>
    </w:p>
    <w:p>
      <w:pPr>
        <w:spacing w:after="0" w:line="139" w:lineRule="exact"/>
        <w:rPr>
          <w:sz w:val="20"/>
          <w:szCs w:val="20"/>
          <w:color w:val="auto"/>
        </w:rPr>
      </w:pPr>
    </w:p>
    <w:p>
      <w:pPr>
        <w:ind w:firstLine="332"/>
        <w:spacing w:after="0" w:line="286" w:lineRule="auto"/>
        <w:tabs>
          <w:tab w:leader="none" w:pos="50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 Submission</w:t>
      </w:r>
      <w:r>
        <w:rPr>
          <w:rFonts w:ascii="Times New Roman" w:cs="Times New Roman" w:eastAsia="Times New Roman" w:hAnsi="Times New Roman"/>
          <w:sz w:val="18"/>
          <w:szCs w:val="18"/>
          <w:color w:val="auto"/>
        </w:rPr>
        <w:t>. Party A shall provide Party B with the following documents or satisfy the corresponding conditions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signature of this Agreement or at the request of Party B:</w:t>
      </w:r>
    </w:p>
    <w:p>
      <w:pPr>
        <w:spacing w:after="0" w:line="132" w:lineRule="exact"/>
        <w:rPr>
          <w:sz w:val="20"/>
          <w:szCs w:val="20"/>
          <w:color w:val="auto"/>
        </w:rPr>
      </w:pPr>
    </w:p>
    <w:p>
      <w:pPr>
        <w:ind w:left="580" w:hanging="248"/>
        <w:spacing w:after="0"/>
        <w:tabs>
          <w:tab w:leader="none" w:pos="5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Party A’s latest articles of association and business license;</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resolution on authorizing Party A to sign this Agreement and relevant accompanying financing documents;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power of attorney for the authorized representative and signature specimen of the authorized agent;</w:t>
      </w:r>
    </w:p>
    <w:p>
      <w:pPr>
        <w:spacing w:after="0" w:line="19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accompanying financing documents signed by Party A legally based on Party B’s requirements; and</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and/or conditions required by Party B.</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Preconditions for Credit Line Use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Party A must satisfy the following conditions prior to use of the credit line:</w:t>
      </w:r>
    </w:p>
    <w:p>
      <w:pPr>
        <w:spacing w:after="0" w:line="185" w:lineRule="exact"/>
        <w:rPr>
          <w:sz w:val="20"/>
          <w:szCs w:val="20"/>
          <w:color w:val="auto"/>
        </w:rPr>
      </w:pPr>
    </w:p>
    <w:p>
      <w:pPr>
        <w:ind w:firstLine="332"/>
        <w:spacing w:after="0" w:line="282" w:lineRule="auto"/>
        <w:tabs>
          <w:tab w:leader="none" w:pos="60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conducts normal production and operation activities, favorable financial conditions and has no deteriorated business conditions in the recent three years;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committed no event of breach explicitly specified in the credit line agreement;</w:t>
      </w:r>
    </w:p>
    <w:p>
      <w:pPr>
        <w:spacing w:after="0" w:line="198" w:lineRule="exact"/>
        <w:rPr>
          <w:rFonts w:ascii="Times New Roman" w:cs="Times New Roman" w:eastAsia="Times New Roman" w:hAnsi="Times New Roman"/>
          <w:sz w:val="18"/>
          <w:szCs w:val="18"/>
          <w:color w:val="auto"/>
        </w:rPr>
      </w:pPr>
    </w:p>
    <w:p>
      <w:pPr>
        <w:jc w:val="both"/>
        <w:ind w:firstLine="332"/>
        <w:spacing w:after="0" w:line="266" w:lineRule="auto"/>
        <w:tabs>
          <w:tab w:leader="none" w:pos="58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under this Agreement is guaranteed, the corresponding guarantee documents have been signed and become valid, necessary mortgage/pledge registration formalities have been finished and guarantee right has been established before Party B develops the specific business;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297" w:name="page298"/>
    <w:bookmarkEnd w:id="297"/>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ind w:firstLine="332"/>
        <w:spacing w:after="0" w:line="312" w:lineRule="auto"/>
        <w:tabs>
          <w:tab w:leader="none" w:pos="58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A’s explicit plan of credit line. The factors and conditions of the specific business application conform to Party B’s relevant rules and systems and requirements for credit line approval as well as the requirements for handling the specific financing business;</w:t>
      </w:r>
    </w:p>
    <w:p>
      <w:pPr>
        <w:spacing w:after="0" w:line="99" w:lineRule="exact"/>
        <w:rPr>
          <w:rFonts w:ascii="Times New Roman" w:cs="Times New Roman" w:eastAsia="Times New Roman" w:hAnsi="Times New Roman"/>
          <w:sz w:val="17"/>
          <w:szCs w:val="17"/>
          <w:color w:val="auto"/>
        </w:rPr>
      </w:pPr>
    </w:p>
    <w:p>
      <w:pPr>
        <w:ind w:firstLine="332"/>
        <w:spacing w:after="0" w:line="282" w:lineRule="auto"/>
        <w:tabs>
          <w:tab w:leader="none" w:pos="5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provided its information and statements regarding its production, business and financial activities and commits to provide and accept Party B’s supervision and inspection within the term of this Agreement in time;</w:t>
      </w:r>
    </w:p>
    <w:p>
      <w:pPr>
        <w:spacing w:after="0" w:line="13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credit line to be used does not exceed the remaining credit balance;</w:t>
      </w:r>
    </w:p>
    <w:p>
      <w:pPr>
        <w:spacing w:after="0" w:line="184" w:lineRule="exact"/>
        <w:rPr>
          <w:rFonts w:ascii="Times New Roman" w:cs="Times New Roman" w:eastAsia="Times New Roman" w:hAnsi="Times New Roman"/>
          <w:sz w:val="18"/>
          <w:szCs w:val="18"/>
          <w:color w:val="auto"/>
        </w:rPr>
      </w:pPr>
    </w:p>
    <w:p>
      <w:pPr>
        <w:ind w:firstLine="332"/>
        <w:spacing w:after="0" w:line="282" w:lineRule="auto"/>
        <w:tabs>
          <w:tab w:leader="none" w:pos="58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specific business application shall be proposed within the term of availability; the day when fund is released or when Party B is required to open L/C, L/G/SLC and bank acceptance or other businesses are developed must be Party B’s working days;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preconditions required by Party B (if any; see “Other Matters as Mutually Agreed” in Part 2).</w:t>
      </w:r>
    </w:p>
    <w:p>
      <w:pPr>
        <w:spacing w:after="0" w:line="194" w:lineRule="exact"/>
        <w:rPr>
          <w:sz w:val="20"/>
          <w:szCs w:val="20"/>
          <w:color w:val="auto"/>
        </w:rPr>
      </w:pPr>
    </w:p>
    <w:p>
      <w:pPr>
        <w:jc w:val="both"/>
        <w:ind w:firstLine="332"/>
        <w:spacing w:after="0" w:line="257" w:lineRule="auto"/>
        <w:tabs>
          <w:tab w:leader="none" w:pos="509"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of Credit Line Occupied</w:t>
      </w:r>
      <w:r>
        <w:rPr>
          <w:rFonts w:ascii="Times New Roman" w:cs="Times New Roman" w:eastAsia="Times New Roman" w:hAnsi="Times New Roman"/>
          <w:sz w:val="18"/>
          <w:szCs w:val="18"/>
          <w:color w:val="auto"/>
        </w:rPr>
        <w:t>. It refers to the sum of financing funds that Party B has released to Party A at all times as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accompanying financing documents and that Party A has not repaid the principal, financing commitment provided to Party A (including the committed amount under specific signed financing agreement) with principal to be drawn by Party A, as well as the amount of the guarantee commitments (including but not limited to L/C, L/G/SLC) issued at the request of Party A, but excluding the financing funds corresponding to the margin, certificate of deposit, treasury bond, bank acceptance or other guarantees provided by Party A or Party A’s guarantor that conform to Party B’s management rules, unless otherwise specified herein.</w:t>
      </w:r>
    </w:p>
    <w:p>
      <w:pPr>
        <w:spacing w:after="0" w:line="141" w:lineRule="exact"/>
        <w:rPr>
          <w:rFonts w:ascii="Times New Roman" w:cs="Times New Roman" w:eastAsia="Times New Roman" w:hAnsi="Times New Roman"/>
          <w:sz w:val="18"/>
          <w:szCs w:val="18"/>
          <w:b w:val="1"/>
          <w:bCs w:val="1"/>
          <w:color w:val="auto"/>
        </w:rPr>
      </w:pPr>
    </w:p>
    <w:p>
      <w:pPr>
        <w:jc w:val="both"/>
        <w:ind w:firstLine="332"/>
        <w:spacing w:after="0" w:line="254" w:lineRule="auto"/>
        <w:tabs>
          <w:tab w:leader="none" w:pos="517"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w:t>
      </w:r>
      <w:r>
        <w:rPr>
          <w:rFonts w:ascii="Times New Roman" w:cs="Times New Roman" w:eastAsia="Times New Roman" w:hAnsi="Times New Roman"/>
          <w:sz w:val="18"/>
          <w:szCs w:val="18"/>
          <w:color w:val="auto"/>
        </w:rPr>
        <w:t>. For the revolving credit line, the amount of credit line occupied by the amount involving the obligations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performed will be recovered after Party A finishes performing the obligations under this Agreement and accompanying financing documents (including repaying the financing fund or advances made by Party B, Party B’s discharge from liabilities under relevant guarantee commitments due to its fulfillment of obligations under the underlying contract, making up 100% margin or Party B’s discharge from the external payment liabilities). Party A can, within the term of availability specified in this Agreement, apply to Party B for use of the credit line continuously. The non-revolving credit line, once occupied, cannot be recovered after Party A finishes performing repayment and other obligations, unless otherwise agreed by Party B. Within the term of availability, Party B is entitled to review Party A’s conditions and the collateral per year, unless otherwise specified. If Party A passes review, it can use the credit line next year continuously; otherwise, Party B is entitled to cancel Party A’s credit line at the beginning of next year. In such case, except for the accompanying financing documents that have become valid, the credit line that has not been used yet and will be returned in future will not be usable any longer.</w:t>
      </w:r>
    </w:p>
    <w:p>
      <w:pPr>
        <w:spacing w:after="0" w:line="141"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94"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If the credit line under this Agreement is guaranteed, Party A shall apply for financing as per this Agreement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that the guarantee document has been signed and come into effect, and that if the guarantee contract is a mortgage/pledge contract, the security interests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298" w:name="page299"/>
    <w:bookmarkEnd w:id="298"/>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contract have been created and continuously valid. If the financing credit line form requires the proportion of margin for opening L/C, L/G/SLC and bank acceptance, Party A can open the above on the basis that the margin in the aforesaid proportion has been paid off. If Party A plans to apply for a change, which leads to an increase of the credit line, Party A shall provide more guarantee or urge the guarantor to confirm the change and provide more guarantee as required by Party B. For the credit line that can be used continuously next year after Party B’s review, Party A shall ensure the guarantee will remain valid continuously at the request of Party B.</w:t>
      </w:r>
    </w:p>
    <w:p>
      <w:pPr>
        <w:spacing w:after="0" w:line="139" w:lineRule="exact"/>
        <w:rPr>
          <w:sz w:val="20"/>
          <w:szCs w:val="20"/>
          <w:color w:val="auto"/>
        </w:rPr>
      </w:pPr>
    </w:p>
    <w:p>
      <w:pPr>
        <w:jc w:val="both"/>
        <w:ind w:firstLine="332"/>
        <w:spacing w:after="0" w:line="262" w:lineRule="auto"/>
        <w:tabs>
          <w:tab w:leader="none" w:pos="611"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Party A shall repay the financing fund under this Agreement in full amount without any deduction, unless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deduct relevant taxes when making repayment as per laws. If Party A must deduct relevant taxes as per laws, it shall provide Party B with duty-paid proof within 15 (fifteen) days after making deduction. At the same time, Party A shall pay extra fees to Party B until the funds received by Party B are equal to the amount that Party B shall receive without any deduction.</w:t>
      </w:r>
    </w:p>
    <w:p>
      <w:pPr>
        <w:spacing w:after="0" w:line="149"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94"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and Guarantee</w:t>
      </w:r>
      <w:r>
        <w:rPr>
          <w:rFonts w:ascii="Times New Roman" w:cs="Times New Roman" w:eastAsia="Times New Roman" w:hAnsi="Times New Roman"/>
          <w:sz w:val="18"/>
          <w:szCs w:val="18"/>
          <w:color w:val="auto"/>
        </w:rPr>
        <w:t>. Party A hereby makes the following statement and guarantee which are seen to be made by Party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repetitively per time when Party B provides Party A with financing as per this Agreement and accompanying financing documents and shall always remain valid.</w:t>
      </w:r>
    </w:p>
    <w:p>
      <w:pPr>
        <w:spacing w:after="0" w:line="134" w:lineRule="exact"/>
        <w:rPr>
          <w:sz w:val="20"/>
          <w:szCs w:val="20"/>
          <w:color w:val="auto"/>
        </w:rPr>
      </w:pPr>
    </w:p>
    <w:p>
      <w:pPr>
        <w:jc w:val="both"/>
        <w:ind w:firstLine="332"/>
        <w:spacing w:after="0" w:line="261" w:lineRule="auto"/>
        <w:tabs>
          <w:tab w:leader="none" w:pos="58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the enterprise (public institution) legal person or other economic organization duly established as per applicable laws and enjoying independent legal person qualification and complete financial system and repayment capacity, has the rights to conclude and perform this Agreement as per laws, sign this Agreement and any document related to this Agreement and has taken all necessary company behaviors to make this Agreement and any document related to this Agreement legal, valid and executable forcefully;</w:t>
      </w:r>
    </w:p>
    <w:p>
      <w:pPr>
        <w:spacing w:after="0" w:line="139" w:lineRule="exact"/>
        <w:rPr>
          <w:rFonts w:ascii="Times New Roman" w:cs="Times New Roman" w:eastAsia="Times New Roman" w:hAnsi="Times New Roman"/>
          <w:sz w:val="18"/>
          <w:szCs w:val="18"/>
          <w:color w:val="auto"/>
        </w:rPr>
      </w:pPr>
    </w:p>
    <w:p>
      <w:pPr>
        <w:jc w:val="both"/>
        <w:ind w:firstLine="332"/>
        <w:spacing w:after="0" w:line="266" w:lineRule="auto"/>
        <w:tabs>
          <w:tab w:leader="none" w:pos="61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signs this Agreement and performs its obligations under this Agreement without violating any other contract or document it has signed, the company’s articles of association, any applicable law, regulation or administrative order, relevant documents, judgment or ruling of competent authority or conflicting any other obligation or arrangement it shall follow.</w:t>
      </w:r>
    </w:p>
    <w:p>
      <w:pPr>
        <w:spacing w:after="0" w:line="148" w:lineRule="exact"/>
        <w:rPr>
          <w:rFonts w:ascii="Times New Roman" w:cs="Times New Roman" w:eastAsia="Times New Roman" w:hAnsi="Times New Roman"/>
          <w:sz w:val="18"/>
          <w:szCs w:val="18"/>
          <w:color w:val="auto"/>
        </w:rPr>
      </w:pPr>
    </w:p>
    <w:p>
      <w:pPr>
        <w:jc w:val="both"/>
        <w:ind w:firstLine="332"/>
        <w:spacing w:after="0" w:line="266" w:lineRule="auto"/>
        <w:tabs>
          <w:tab w:leader="none" w:pos="61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any of its shareholders or associated company does not involve any liquidation, bankruptcy or reorganization program or is not merged, combined, spin-off, reconstructed, dissolved, shut down or does not enter similar legal programs or any case that may lead to such legal procedures.</w:t>
      </w:r>
    </w:p>
    <w:p>
      <w:pPr>
        <w:spacing w:after="0" w:line="135" w:lineRule="exact"/>
        <w:rPr>
          <w:rFonts w:ascii="Times New Roman" w:cs="Times New Roman" w:eastAsia="Times New Roman" w:hAnsi="Times New Roman"/>
          <w:sz w:val="18"/>
          <w:szCs w:val="18"/>
          <w:color w:val="auto"/>
        </w:rPr>
      </w:pPr>
    </w:p>
    <w:p>
      <w:pPr>
        <w:ind w:firstLine="332"/>
        <w:spacing w:after="0" w:line="282" w:lineRule="auto"/>
        <w:tabs>
          <w:tab w:leader="none" w:pos="58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does not involve any economic, civil, criminal, administrative proceeding or similar arbitration procedure that may exert adverse influence on it or any case that may lead to its involvement in such legal procedure or similar arbitration procedure.</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60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any major assets of Party A’s legal representative, director, director or other senior managers and its client are executed forcefully, sealed up, detained, frozen, retained or supervised or involve any case that may lead to the consequence above.</w:t>
      </w:r>
    </w:p>
    <w:p>
      <w:pPr>
        <w:spacing w:after="0" w:line="13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ensures all the financial statements it issues (if any) conform to the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299" w:name="page300"/>
    <w:bookmarkEnd w:id="299"/>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reflect its financial conditions truthfully, completely and fairly; all the documents, data and information it provides for Party B about itself and the guarantor when signing and performing this Agreement are authentic, valid, accurate and complete and do not conceal or omit anything required.</w:t>
      </w:r>
    </w:p>
    <w:p>
      <w:pPr>
        <w:spacing w:after="0" w:line="135" w:lineRule="exact"/>
        <w:rPr>
          <w:sz w:val="20"/>
          <w:szCs w:val="20"/>
          <w:color w:val="auto"/>
        </w:rPr>
      </w:pPr>
    </w:p>
    <w:p>
      <w:pPr>
        <w:ind w:right="20" w:firstLine="332"/>
        <w:spacing w:after="0" w:line="282" w:lineRule="auto"/>
        <w:tabs>
          <w:tab w:leader="none" w:pos="58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deals with all matters as per applicable laws and regulations, develops business based on the scope of business specified in its business license or approved as per laws and goes through registration and annual check formalities in time;</w:t>
      </w:r>
    </w:p>
    <w:p>
      <w:pPr>
        <w:spacing w:after="0" w:line="134" w:lineRule="exact"/>
        <w:rPr>
          <w:rFonts w:ascii="Times New Roman" w:cs="Times New Roman" w:eastAsia="Times New Roman" w:hAnsi="Times New Roman"/>
          <w:sz w:val="18"/>
          <w:szCs w:val="18"/>
          <w:color w:val="auto"/>
        </w:rPr>
      </w:pPr>
    </w:p>
    <w:p>
      <w:pPr>
        <w:ind w:right="20" w:firstLine="332"/>
        <w:spacing w:after="0" w:line="282" w:lineRule="auto"/>
        <w:tabs>
          <w:tab w:leader="none" w:pos="58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disclosed the facts and conditions that it knows or shall know and based on which Party B decides whether granting the credit under this Agreement to Party B (including but not limited to business, finance and external guarantee).</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internal management documents related to environment and social risks conform to laws and regulations and have been implemented faithfully.</w:t>
      </w:r>
    </w:p>
    <w:p>
      <w:pPr>
        <w:spacing w:after="0" w:line="12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ensures it has no any other case or event that causes or may cause major adverse influence on its performance capacity.</w:t>
      </w:r>
    </w:p>
    <w:p>
      <w:pPr>
        <w:spacing w:after="0" w:line="194" w:lineRule="exact"/>
        <w:rPr>
          <w:sz w:val="20"/>
          <w:szCs w:val="20"/>
          <w:color w:val="auto"/>
        </w:rPr>
      </w:pPr>
    </w:p>
    <w:p>
      <w:pPr>
        <w:jc w:val="both"/>
        <w:ind w:firstLine="368"/>
        <w:spacing w:after="0" w:line="268" w:lineRule="auto"/>
        <w:tabs>
          <w:tab w:leader="none" w:pos="670" w:val="left"/>
        </w:tabs>
        <w:numPr>
          <w:ilvl w:val="1"/>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Party A makes the following commitments which are seen to be a new commitment made by Party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repetitively each time when Party B provides financing for Party A as per the provisions of this Agreement and financing attachments and shall always remain valid.</w:t>
      </w:r>
    </w:p>
    <w:p>
      <w:pPr>
        <w:spacing w:after="0" w:line="134"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abide by and perform all its obligations under this Agreement and financing attachments strictly;</w:t>
      </w:r>
    </w:p>
    <w:p>
      <w:pPr>
        <w:spacing w:after="0" w:line="184" w:lineRule="exact"/>
        <w:rPr>
          <w:rFonts w:ascii="Times New Roman" w:cs="Times New Roman" w:eastAsia="Times New Roman" w:hAnsi="Times New Roman"/>
          <w:sz w:val="18"/>
          <w:szCs w:val="18"/>
          <w:color w:val="auto"/>
        </w:rPr>
      </w:pPr>
    </w:p>
    <w:p>
      <w:pPr>
        <w:jc w:val="both"/>
        <w:ind w:firstLine="332"/>
        <w:spacing w:after="0" w:line="256" w:lineRule="auto"/>
        <w:tabs>
          <w:tab w:leader="none" w:pos="61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repay the financing fund or payment made in advance in time as per the provisions of this Agreement and accompanying financing documents or make up 100% margin at the request of Party B, unless otherwise specified in this Agreement or financing attachments. Party A shall apply for, obtain and abide by all the approvals, authorizations, registrations and licenses required as per the applicable laws and regulations and always make them valid so that it could sign and perform the obligations specified in this Agreement and any document related to this Agreement lawfully. As long as Party B requires, Party A shall issue relevant certificates with no delay;</w:t>
      </w:r>
    </w:p>
    <w:p>
      <w:pPr>
        <w:spacing w:after="0" w:line="160" w:lineRule="exact"/>
        <w:rPr>
          <w:rFonts w:ascii="Times New Roman" w:cs="Times New Roman" w:eastAsia="Times New Roman" w:hAnsi="Times New Roman"/>
          <w:sz w:val="18"/>
          <w:szCs w:val="18"/>
          <w:color w:val="auto"/>
        </w:rPr>
      </w:pPr>
    </w:p>
    <w:p>
      <w:pPr>
        <w:jc w:val="both"/>
        <w:ind w:firstLine="332"/>
        <w:spacing w:after="0" w:line="261" w:lineRule="auto"/>
        <w:tabs>
          <w:tab w:leader="none" w:pos="62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 (five) Party B’s working days upon knowing its involvement in any economic, civil, criminal, administrative proceeding or similar arbitration procedure which may exert adverse influence on itself or within 5 (five) Party B’s working days upon knowing any of its assets may be executed forcefully, sealed up, detained, frozen, retained or supervised, Party A shall inform Party B in writing and state in detail the influence and remedial measures it has taken or will take;</w:t>
      </w:r>
    </w:p>
    <w:p>
      <w:pPr>
        <w:spacing w:after="0" w:line="139" w:lineRule="exact"/>
        <w:rPr>
          <w:rFonts w:ascii="Times New Roman" w:cs="Times New Roman" w:eastAsia="Times New Roman" w:hAnsi="Times New Roman"/>
          <w:sz w:val="18"/>
          <w:szCs w:val="18"/>
          <w:color w:val="auto"/>
        </w:rPr>
      </w:pPr>
    </w:p>
    <w:p>
      <w:pPr>
        <w:ind w:firstLine="332"/>
        <w:spacing w:after="0" w:line="282" w:lineRule="auto"/>
        <w:tabs>
          <w:tab w:leader="none" w:pos="59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B’s written consent, Party A shall not provide guarantee which exerts material adverse influence on its financial conditions or capacity of performing the obligations under this Agreement for a third party;</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58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B’s written consent, Party A shall not repay other long-term debts in advance by exerting major adverse influence on its capacity of performing the obligations under this Agreement;</w:t>
      </w:r>
    </w:p>
    <w:p>
      <w:pPr>
        <w:spacing w:after="0" w:line="134" w:lineRule="exact"/>
        <w:rPr>
          <w:rFonts w:ascii="Times New Roman" w:cs="Times New Roman" w:eastAsia="Times New Roman" w:hAnsi="Times New Roman"/>
          <w:sz w:val="18"/>
          <w:szCs w:val="18"/>
          <w:color w:val="auto"/>
        </w:rPr>
      </w:pPr>
    </w:p>
    <w:p>
      <w:pPr>
        <w:ind w:firstLine="332"/>
        <w:spacing w:after="0" w:line="282" w:lineRule="auto"/>
        <w:tabs>
          <w:tab w:leader="none" w:pos="61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when this Agreement is concluded to the full repayment of debts under this Agreement and accompanying financing documents, without Party B’s written consent, Party A:</w:t>
      </w:r>
    </w:p>
    <w:p>
      <w:pPr>
        <w:spacing w:after="0" w:line="121" w:lineRule="exact"/>
        <w:rPr>
          <w:rFonts w:ascii="Times New Roman" w:cs="Times New Roman" w:eastAsia="Times New Roman" w:hAnsi="Times New Roman"/>
          <w:sz w:val="18"/>
          <w:szCs w:val="18"/>
          <w:color w:val="auto"/>
        </w:rPr>
      </w:pPr>
    </w:p>
    <w:p>
      <w:pPr>
        <w:ind w:left="340" w:firstLine="316"/>
        <w:spacing w:after="0" w:line="282" w:lineRule="auto"/>
        <w:tabs>
          <w:tab w:leader="none" w:pos="988"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make significant investment, transfer its shares, have changes in de facto controller or majority shareholder, increase debt financing substantially, enter liquidation,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0" w:name="page301"/>
    <w:bookmarkEnd w:id="300"/>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reconstruction or bankruptcy procedure, be merged, combined, separated, assigned, decapitalized, reorganized, dissolved, shut down or go out of business or involve other similar legal procedures and other matters that possibly affect its solvency;</w:t>
      </w:r>
    </w:p>
    <w:p>
      <w:pPr>
        <w:spacing w:after="0" w:line="121" w:lineRule="exact"/>
        <w:rPr>
          <w:sz w:val="20"/>
          <w:szCs w:val="20"/>
          <w:color w:val="auto"/>
        </w:rPr>
      </w:pPr>
    </w:p>
    <w:p>
      <w:pPr>
        <w:ind w:left="340" w:right="20" w:firstLine="316"/>
        <w:spacing w:after="0" w:line="282" w:lineRule="auto"/>
        <w:tabs>
          <w:tab w:leader="none" w:pos="98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sell, rent out, bestow, get foreclosed, exchange, transfer, assign, mortgage, pledge or dispose of in other ways whole or a substantial part of its important assets, except for the daily business demand;</w:t>
      </w:r>
    </w:p>
    <w:p>
      <w:pPr>
        <w:spacing w:after="0" w:line="134"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8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provide guarantee to any third party that will result in a material adverse effect on its financial position or ability to perform obligations hereunder; or incur new substantive debts or early repayment of other long-term debts and such repayment may have a material adverse effect on its ability to perform obligations hereunder;</w:t>
      </w:r>
    </w:p>
    <w:p>
      <w:pPr>
        <w:spacing w:after="0" w:line="135" w:lineRule="exact"/>
        <w:rPr>
          <w:rFonts w:ascii="Times New Roman" w:cs="Times New Roman" w:eastAsia="Times New Roman" w:hAnsi="Times New Roman"/>
          <w:sz w:val="18"/>
          <w:szCs w:val="18"/>
          <w:color w:val="auto"/>
        </w:rPr>
      </w:pPr>
    </w:p>
    <w:p>
      <w:pPr>
        <w:ind w:left="340" w:firstLine="316"/>
        <w:spacing w:after="0" w:line="282" w:lineRule="auto"/>
        <w:tabs>
          <w:tab w:leader="none" w:pos="98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sign any contract/agreement exerting major adverse influence on its capacity of performing the obligations under this Agreement or bear related obligations that may exert the influence above.</w:t>
      </w:r>
    </w:p>
    <w:p>
      <w:pPr>
        <w:spacing w:after="0" w:line="121" w:lineRule="exact"/>
        <w:rPr>
          <w:rFonts w:ascii="Times New Roman" w:cs="Times New Roman" w:eastAsia="Times New Roman" w:hAnsi="Times New Roman"/>
          <w:sz w:val="18"/>
          <w:szCs w:val="18"/>
          <w:color w:val="auto"/>
        </w:rPr>
      </w:pPr>
    </w:p>
    <w:p>
      <w:pPr>
        <w:jc w:val="both"/>
        <w:ind w:firstLine="332"/>
        <w:spacing w:after="0" w:line="255" w:lineRule="auto"/>
        <w:tabs>
          <w:tab w:leader="none" w:pos="60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guarantee under this Agreement involves a special case or is changed certainly, Party A shall provide other guarantee recognized by Party B based on Party B’s requirements. The said special case or change includes but is not limited to the guarantor’s production suspension, business shutdown, dissolution, business suspension for rectification, revoking or cancellation of business license, application or passive application of reorganization, bankruptcy, substantial change of business or financial conditions, involvement in major lawsuit or arbitration, lawsuit, arbitration or other compulsory measures against legal representative/person in charge, depreciation or possible depreciation of collateral, seal-up and other property preservation measures, violation of the guarantee contract and request for terminating guarantee contract.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also go through notarization with compulsory execution effect from the notary organ recognized by Party B at the request of Party B and agrees to accept the compulsory execution voluntarily;</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60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inform Party B, at all times, of the event that may influence its capacity to perform the obligations under this Agreement and any document related to this Agreement.</w:t>
      </w:r>
    </w:p>
    <w:p>
      <w:pPr>
        <w:spacing w:after="0" w:line="12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on group client (applicable to group clients).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Party A to this Agreement is a group client, Party A hereby commits that:</w:t>
      </w:r>
    </w:p>
    <w:p>
      <w:pPr>
        <w:spacing w:after="0" w:line="185" w:lineRule="exact"/>
        <w:rPr>
          <w:sz w:val="20"/>
          <w:szCs w:val="20"/>
          <w:color w:val="auto"/>
        </w:rPr>
      </w:pPr>
    </w:p>
    <w:p>
      <w:pPr>
        <w:jc w:val="both"/>
        <w:ind w:left="340" w:firstLine="316"/>
        <w:spacing w:after="0" w:line="266" w:lineRule="auto"/>
        <w:tabs>
          <w:tab w:leader="none" w:pos="98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report the associated transactions which are above 10% of the actual addressee’s net assets in time, including a. association of all transaction parties; b. transaction project and transaction nature; c. amount or the corresponding proportion of transaction; d. pricing policy (including the transaction with no amount or with symbolic amount).</w:t>
      </w:r>
    </w:p>
    <w:p>
      <w:pPr>
        <w:spacing w:after="0" w:line="135" w:lineRule="exact"/>
        <w:rPr>
          <w:rFonts w:ascii="Times New Roman" w:cs="Times New Roman" w:eastAsia="Times New Roman" w:hAnsi="Times New Roman"/>
          <w:sz w:val="18"/>
          <w:szCs w:val="18"/>
          <w:color w:val="auto"/>
        </w:rPr>
      </w:pPr>
    </w:p>
    <w:p>
      <w:pPr>
        <w:jc w:val="both"/>
        <w:ind w:left="340" w:firstLine="316"/>
        <w:spacing w:after="0" w:line="258" w:lineRule="auto"/>
        <w:tabs>
          <w:tab w:leader="none" w:pos="98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addressee has any of the following cases, Party A is seen as a breach of this Agreement. In such case, Party B is entitled to decide if to cancel the credit that Party A has not used yet unilaterally and collect the credit used partially or wholly or ask Party A to make up the margin to 100%. a. The addressee provides false materials or conceals major business and financial information; b. The addressee changes the original credit purpose, embezzles credit or uses bank credit to engage in illegal transactions arbitrarily without Party B’s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1" w:name="page302"/>
    <w:bookmarkEnd w:id="301"/>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 The addressee extracts bank capital or credit at Party B’s site by discount or pledging in virtue of false contract among associated parties and with creditor’s rights with no trading background such as notes receivable and accounts receivable; d. The addressee refuses to accept Party B’s supervision and inspection of its use of credit capital and relevant business and financial activities; e. The addressee is merged, purchased or reorganized substantially, which Party B deems probably influential to the credit safety; f. The addressee avoids bank creditor’s rights purposefully by connected transaction.</w:t>
      </w:r>
    </w:p>
    <w:p>
      <w:pPr>
        <w:spacing w:after="0" w:line="143" w:lineRule="exact"/>
        <w:rPr>
          <w:sz w:val="20"/>
          <w:szCs w:val="20"/>
          <w:color w:val="auto"/>
        </w:rPr>
      </w:pPr>
    </w:p>
    <w:p>
      <w:pPr>
        <w:jc w:val="both"/>
        <w:ind w:firstLine="332"/>
        <w:spacing w:after="0" w:line="256" w:lineRule="auto"/>
        <w:tabs>
          <w:tab w:leader="none" w:pos="67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commitment and conventions on green credit (applicable to the clients whose construction, production and operation activities of nuclear power station, large hydropower station, water conservancy project and resources mining project may change the original environment status and generate serious environmental and social consequences that could hardly be eliminated as well as the clients whose construction, production and operation activities of petroleum refining, coking, nuclear fuel processing, chemical raw materials and manufacturing of chemical products which lead to serious environmental and social consequences that could be eliminated through mitigation measures):</w:t>
      </w:r>
    </w:p>
    <w:p>
      <w:pPr>
        <w:spacing w:after="0" w:line="160"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8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commits to provide its environmental, social and governance risk reports to Party B, and declares and undertakes that it will enhance the management of environmental, social and governance risks, including a. environmental, social and governance risks related internal management documents conform to the laws and regulations and will be performed in good faith; b. there is no any major lawsuit case related to environmental, social and governance risks.</w:t>
      </w:r>
    </w:p>
    <w:p>
      <w:pPr>
        <w:spacing w:after="0" w:line="139" w:lineRule="exact"/>
        <w:rPr>
          <w:rFonts w:ascii="Times New Roman" w:cs="Times New Roman" w:eastAsia="Times New Roman" w:hAnsi="Times New Roman"/>
          <w:sz w:val="18"/>
          <w:szCs w:val="18"/>
          <w:color w:val="auto"/>
        </w:rPr>
      </w:pPr>
    </w:p>
    <w:p>
      <w:pPr>
        <w:jc w:val="both"/>
        <w:ind w:left="340" w:firstLine="316"/>
        <w:spacing w:after="0" w:line="253" w:lineRule="auto"/>
        <w:tabs>
          <w:tab w:leader="none" w:pos="98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commits that it will accept Party B’s supervision and strengthen environmental, social and governance risk management, including a. Party A commits that all the behaviors and performances related to environmental, social and governance risks conform to the requirements; b. Party A commits that it will establish and improve the internal management system regarding environmental, social and governance risks, and has specified the measures on the responsibilities, obligations and punishment of its relevant responsible persons; c. Party A commits that it will establish and improve the emergency mechanism and measures on environmental, social and governance risk emergencies; d. Party A commits that it will designate a special department and/or person to take charge of environmental, social and governance risks; e. Party A commits that it will coordinate with Party B or a third party recognized by Party B to assess and check its environmental, social and governance risks; f. Party A undertakes that it will give response actively for the big doubts on its control environmental, social and governance risks from the masses or other interest related parties; g. Party A commits that it will urge its critical associated parties to strengthen management to prevent their environmental, social and governance risks from affecting clients; h. Party A commits that it will perform other matters that Party B believes are associated with control environmental, social and governance risks.</w:t>
      </w:r>
    </w:p>
    <w:p>
      <w:pPr>
        <w:spacing w:after="0" w:line="149" w:lineRule="exact"/>
        <w:rPr>
          <w:rFonts w:ascii="Times New Roman" w:cs="Times New Roman" w:eastAsia="Times New Roman" w:hAnsi="Times New Roman"/>
          <w:sz w:val="18"/>
          <w:szCs w:val="18"/>
          <w:color w:val="auto"/>
        </w:rPr>
      </w:pPr>
    </w:p>
    <w:p>
      <w:pPr>
        <w:ind w:left="340" w:firstLine="316"/>
        <w:spacing w:after="0" w:line="282" w:lineRule="auto"/>
        <w:tabs>
          <w:tab w:leader="none" w:pos="98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commits that it will report any of the following cases to Party B in time and sufficiently upon their occurrence: a. licenses, approvals and checks related to environmental,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2" w:name="page303"/>
    <w:bookmarkEnd w:id="302"/>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social and governance risks in the process of commencement, construction, operation and shutdown; b. assessment and check of Party A’s environmental, social and governance risks by environmental, social and governance risk supervision agency or the organ that the agency recognizes; c. construction and operation of supporting environmental facilities; d. pollutant emission and objective; e. employees’ safety and health; f. major complaint and protest against the environment and social risks by adjacent communities; g. major environment and social claims; h. other major cases that Party B believes are associated with environmental, social and governance risks.</w:t>
      </w:r>
    </w:p>
    <w:p>
      <w:pPr>
        <w:spacing w:after="0" w:line="147" w:lineRule="exact"/>
        <w:rPr>
          <w:sz w:val="20"/>
          <w:szCs w:val="20"/>
          <w:color w:val="auto"/>
        </w:rPr>
      </w:pPr>
    </w:p>
    <w:p>
      <w:pPr>
        <w:jc w:val="both"/>
        <w:ind w:left="340" w:firstLine="316"/>
        <w:spacing w:after="0" w:line="256" w:lineRule="auto"/>
        <w:tabs>
          <w:tab w:leader="none" w:pos="98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seen as a breach of this Agreement if Party A and its actual credit grantor involve any of the following cases: a. Party A’s statements, warranties and representations related to environmental, social and governance risks are not performed earnestly; b. Party A is subjected to the punishment of relevant government organs due to its improper environmental, social and governance risk management; c. Party A is queried by the mass and/or media due to its improper environmental, social and governance risks management; d. other events of default related to environmental, social and governance risks management as specified by Party B and Party A, including cross default.</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Party A involves any of the events of default above, Party B can unilaterally decide if a. canceling the commitment of credit granting it has been made; b. suspending the allocation of loan until Party A takes the remedial measures that satisfy Party B; c. collecting the loan issued in advance; d. exercising relevant mortgage and pledge rights and other punitive measures in advance when Party A cannot repay the loan; e. other punishment measures specified by Party A and Party B.</w:t>
      </w:r>
    </w:p>
    <w:p>
      <w:pPr>
        <w:spacing w:after="0" w:line="139" w:lineRule="exact"/>
        <w:rPr>
          <w:sz w:val="20"/>
          <w:szCs w:val="20"/>
          <w:color w:val="auto"/>
        </w:rPr>
      </w:pPr>
    </w:p>
    <w:p>
      <w:pPr>
        <w:jc w:val="both"/>
        <w:ind w:firstLine="332"/>
        <w:spacing w:after="0" w:line="266" w:lineRule="auto"/>
        <w:tabs>
          <w:tab w:leader="none" w:pos="67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undertakes that it will not increase local government’s implicit debt in violation of regulations, otherwise, Party B may suspend/terminate Party A’s financing or drawdown, cancel the credit line, and declare the disbursed financing fund mature earlier in part or in whole. Party B may also report such situation to relevant regulatory authorities.</w:t>
      </w:r>
    </w:p>
    <w:p>
      <w:pPr>
        <w:spacing w:after="0" w:line="135" w:lineRule="exact"/>
        <w:rPr>
          <w:rFonts w:ascii="Times New Roman" w:cs="Times New Roman" w:eastAsia="Times New Roman" w:hAnsi="Times New Roman"/>
          <w:sz w:val="18"/>
          <w:szCs w:val="18"/>
          <w:color w:val="auto"/>
        </w:rPr>
      </w:pPr>
    </w:p>
    <w:p>
      <w:pPr>
        <w:jc w:val="both"/>
        <w:ind w:firstLine="332"/>
        <w:spacing w:after="0" w:line="254" w:lineRule="auto"/>
        <w:tabs>
          <w:tab w:leader="none" w:pos="67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anti-money laundering, Party A acknowledges and agrees that Party B may assess money laundering risk for any transactions hereunder according to the applicable anti-money laundering laws and regulations and its internal management requirements. If Party A breaches Party B’s anti-money laundering regulations, or Party A and/or any transactions hereunder are reasonably suspected by Party B of participation in illegal activities such as money laundering, sanction, financing of terrorism or financing for the spread of weapons of mass destruction, export control, or tax evasion, Party B may take necessary control measures according to the anti-money laundering regulations of the People’s Bank of China and its internal management rules. In addition, Party B may directly restrict or suspend all or partial businesses hereunder without notice to Party A, declare early maturity of the loans, terminate this Agreement without any liability, and require Party A to compensate all losses caused to Party B thereby.</w:t>
      </w:r>
    </w:p>
    <w:p>
      <w:pPr>
        <w:spacing w:after="0" w:line="160" w:lineRule="exact"/>
        <w:rPr>
          <w:rFonts w:ascii="Times New Roman" w:cs="Times New Roman" w:eastAsia="Times New Roman" w:hAnsi="Times New Roman"/>
          <w:sz w:val="18"/>
          <w:szCs w:val="18"/>
          <w:color w:val="auto"/>
        </w:rPr>
      </w:pPr>
    </w:p>
    <w:p>
      <w:pPr>
        <w:jc w:val="both"/>
        <w:ind w:firstLine="332"/>
        <w:spacing w:after="0" w:line="268" w:lineRule="auto"/>
        <w:tabs>
          <w:tab w:leader="none" w:pos="746"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A/the guarantor hereby agrees and irrevocably authorizes Party B to submit the information of all contracts/agreements/commitments concluded by Party A/the guarantor and Party B, including the information about the performance of the said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3" w:name="page304"/>
    <w:bookmarkEnd w:id="303"/>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02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6292215" cy="402590"/>
                    </a:xfrm>
                    <a:prstGeom prst="rect">
                      <a:avLst/>
                    </a:prstGeom>
                    <a:noFill/>
                  </pic:spPr>
                </pic:pic>
              </a:graphicData>
            </a:graphic>
          </wp:anchor>
        </w:drawing>
        <w:t>Credit Line Agreement</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contracts/agreements/commitments, as well as the basic enterprise information and other information provided by Party A/the guarantor, for the basic financial credit information database set up by the State, according to the requirements of the </w:t>
      </w:r>
      <w:r>
        <w:rPr>
          <w:rFonts w:ascii="Times New Roman" w:cs="Times New Roman" w:eastAsia="Times New Roman" w:hAnsi="Times New Roman"/>
          <w:sz w:val="18"/>
          <w:szCs w:val="18"/>
          <w:b w:val="1"/>
          <w:bCs w:val="1"/>
          <w:i w:val="1"/>
          <w:iCs w:val="1"/>
          <w:color w:val="auto"/>
        </w:rPr>
        <w:t xml:space="preserve">Regulations on the Management of Credit Investigation </w:t>
      </w:r>
      <w:r>
        <w:rPr>
          <w:rFonts w:ascii="Times New Roman" w:cs="Times New Roman" w:eastAsia="Times New Roman" w:hAnsi="Times New Roman"/>
          <w:sz w:val="18"/>
          <w:szCs w:val="18"/>
          <w:b w:val="1"/>
          <w:bCs w:val="1"/>
          <w:color w:val="auto"/>
        </w:rPr>
        <w:t>and other credit standing related laws and regulations,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collection requirements for the basic financial credit information database set up by the State, so that the institutions eligible for query could query and use it. At the same time, Party B is also entitled to query and use the credit information about Party B/the guarantor included in the financial credit information database set up by the State. The authorization covers all links of Party B’s necessary business management under this Agreement prior to and after the signature of this Agreement and remains valid until this Agreement is terminated.</w:t>
      </w:r>
    </w:p>
    <w:p>
      <w:pPr>
        <w:spacing w:after="0" w:line="148" w:lineRule="exact"/>
        <w:rPr>
          <w:sz w:val="20"/>
          <w:szCs w:val="20"/>
          <w:color w:val="auto"/>
        </w:rPr>
      </w:pPr>
    </w:p>
    <w:p>
      <w:pPr>
        <w:jc w:val="both"/>
        <w:ind w:firstLine="332"/>
        <w:spacing w:after="0" w:line="261" w:lineRule="auto"/>
        <w:tabs>
          <w:tab w:leader="none" w:pos="68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hereby acknowledges that it has fully understood and known Party B’s provisions on the banning of its employees’ pursuit of personal interests in any form in virtue of its post and commits that it will avoid the case above in an honest and fair manner and will not provide Party B’s employees with kickback, cash gift, securities, valuable articles, awards, compensation of private fees, private tourism, high consumption recreation and other unjust interests in any form privately.</w:t>
      </w:r>
    </w:p>
    <w:p>
      <w:pPr>
        <w:spacing w:after="0" w:line="149" w:lineRule="exact"/>
        <w:rPr>
          <w:sz w:val="20"/>
          <w:szCs w:val="20"/>
          <w:color w:val="auto"/>
        </w:rPr>
      </w:pPr>
    </w:p>
    <w:p>
      <w:pPr>
        <w:ind w:left="600" w:hanging="268"/>
        <w:spacing w:after="0"/>
        <w:tabs>
          <w:tab w:leader="none" w:pos="60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Party A shall pay relevant fees and taxes as per laws, regulations and this Agreement.</w:t>
      </w:r>
    </w:p>
    <w:p>
      <w:pPr>
        <w:spacing w:after="0" w:line="184"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607"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 Interests</w:t>
      </w:r>
      <w:r>
        <w:rPr>
          <w:rFonts w:ascii="Times New Roman" w:cs="Times New Roman" w:eastAsia="Times New Roman" w:hAnsi="Times New Roman"/>
          <w:sz w:val="18"/>
          <w:szCs w:val="18"/>
          <w:color w:val="auto"/>
        </w:rPr>
        <w:t>. Both parties shall specify the default interests against financing under this Agreement and default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embezzlement of loan and its charging rules via negotiation in the financing credit line form or accompanying financing documents.</w:t>
      </w:r>
    </w:p>
    <w:p>
      <w:pPr>
        <w:spacing w:after="0" w:line="130" w:lineRule="exact"/>
        <w:rPr>
          <w:rFonts w:ascii="Times New Roman" w:cs="Times New Roman" w:eastAsia="Times New Roman" w:hAnsi="Times New Roman"/>
          <w:sz w:val="18"/>
          <w:szCs w:val="18"/>
          <w:b w:val="1"/>
          <w:bCs w:val="1"/>
          <w:color w:val="auto"/>
        </w:rPr>
      </w:pPr>
    </w:p>
    <w:p>
      <w:pPr>
        <w:jc w:val="both"/>
        <w:ind w:firstLine="332"/>
        <w:spacing w:after="0" w:line="257" w:lineRule="auto"/>
        <w:tabs>
          <w:tab w:leader="none" w:pos="601"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Conversion of Exchange Rate. </w:t>
      </w:r>
      <w:r>
        <w:rPr>
          <w:rFonts w:ascii="Times New Roman" w:cs="Times New Roman" w:eastAsia="Times New Roman" w:hAnsi="Times New Roman"/>
          <w:sz w:val="18"/>
          <w:szCs w:val="18"/>
          <w:color w:val="auto"/>
        </w:rPr>
        <w:t>In case of calculating the amount used, if the financing currency is not in consistency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of credit line, Party B has the right to convert them based on its relevant exchange rate. If the change of exchange rate makes the amount of credit line occupied under this Agreement exceed the maximum credit line above, Party B has the right to ask Party A to repay the excessive amount. If the currency of repayment made by Party A (including authorized repayment) is not in consistency with the financing currency, Party B has the right to make repayment by purchasing foreign exchange based on its exchange rate and the exchange rate risks arising therefrom shall be borne by Party A.</w:t>
      </w:r>
    </w:p>
    <w:p>
      <w:pPr>
        <w:spacing w:after="0" w:line="155"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597"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Repayment and Offset</w:t>
      </w:r>
      <w:r>
        <w:rPr>
          <w:rFonts w:ascii="Times New Roman" w:cs="Times New Roman" w:eastAsia="Times New Roman" w:hAnsi="Times New Roman"/>
          <w:sz w:val="18"/>
          <w:szCs w:val="18"/>
          <w:color w:val="auto"/>
        </w:rPr>
        <w:t>. Party A hereby authorizes Party B to, on behalf of Party A, deduct fund from any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opens at Shanghai Pudong Development Bank Co., Ltd. (whichever the currency) against any mature debt not paid by Party A no matter whether the debt is under this Agreement or accompanying financing documents, so that Party B can use the fund for repaying the debts. The authorization is irrevocable. In case of conversion of exchange rate, Party B shall make conversion based on its exchange rate determined and the risks of exchange rate shall be borne by Party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4" w:name="page305"/>
    <w:bookmarkEnd w:id="304"/>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5" w:lineRule="exact"/>
        <w:rPr>
          <w:sz w:val="20"/>
          <w:szCs w:val="20"/>
          <w:color w:val="auto"/>
        </w:rPr>
      </w:pPr>
    </w:p>
    <w:p>
      <w:pPr>
        <w:jc w:val="both"/>
        <w:ind w:right="20" w:firstLine="332"/>
        <w:spacing w:after="0" w:line="259" w:lineRule="auto"/>
        <w:tabs>
          <w:tab w:leader="none" w:pos="614"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Certificate</w:t>
      </w:r>
      <w:r>
        <w:rPr>
          <w:rFonts w:ascii="Times New Roman" w:cs="Times New Roman" w:eastAsia="Times New Roman" w:hAnsi="Times New Roman"/>
          <w:sz w:val="18"/>
          <w:szCs w:val="18"/>
          <w:color w:val="auto"/>
        </w:rPr>
        <w:t>. Party B will maintain a set of account book and voucher related to the business activities specified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financing attachments inside its account according to the business operation criteria that it always follows, as proof for Party B’s financing funds, interests and fees. Except for the obvious errors, Party A acknowledges that the valid certificates of creditor’s rights in the financing hereunder shall be the accounting vouchers or other valid evidentiary materials issued and recorded by Party B according to its business regulations.</w:t>
      </w:r>
    </w:p>
    <w:p>
      <w:pPr>
        <w:spacing w:after="0" w:line="138"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94"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Party A shall not transfer any of its right or obligation under this Agreement. Party B can transfer any of its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under this Agreement to a third party at all times and disclose any information related to this Agreement to the third party, including any information provided by Party A and its guarantor for Party B for the purpose of this Agreement.</w:t>
      </w:r>
    </w:p>
    <w:p>
      <w:pPr>
        <w:spacing w:after="0" w:line="143"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614"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Disclosure</w:t>
      </w:r>
      <w:r>
        <w:rPr>
          <w:rFonts w:ascii="Times New Roman" w:cs="Times New Roman" w:eastAsia="Times New Roman" w:hAnsi="Times New Roman"/>
          <w:sz w:val="18"/>
          <w:szCs w:val="18"/>
          <w:color w:val="auto"/>
        </w:rPr>
        <w:t>. Party A agrees, besides the disclosures allowed in Article 19 hereof, Party B can also disclose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related to this Agreement to its head office, branches, associated agencies or the personnel employed by them. At the same time, Party B can also make disclosure as per the requirements of any law and regulation and the requirements of supervision department, government organ or judicial organ.</w:t>
      </w:r>
    </w:p>
    <w:p>
      <w:pPr>
        <w:spacing w:after="0" w:line="13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this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332"/>
        <w:spacing w:after="0" w:line="282" w:lineRule="auto"/>
        <w:tabs>
          <w:tab w:leader="none" w:pos="62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Breach. Any of the following events of Party A shall constitute an event of breach of this Agreement and accompanying financing documents to Party B:</w:t>
      </w:r>
    </w:p>
    <w:p>
      <w:pPr>
        <w:spacing w:after="0" w:line="135" w:lineRule="exact"/>
        <w:rPr>
          <w:sz w:val="20"/>
          <w:szCs w:val="20"/>
          <w:color w:val="auto"/>
        </w:rPr>
      </w:pPr>
    </w:p>
    <w:p>
      <w:pPr>
        <w:ind w:firstLine="332"/>
        <w:spacing w:after="0" w:line="282" w:lineRule="auto"/>
        <w:tabs>
          <w:tab w:leader="none" w:pos="55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violates any statement or guarantee of this Agreement or the statement or guarantee proves to be incorrect, false, misleading or has omissions or has been breached,</w:t>
      </w:r>
    </w:p>
    <w:p>
      <w:pPr>
        <w:spacing w:after="0" w:line="121"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fails to repay on time financing principal, interest and payables under the specific business application, violates or refuses to perform any matter committed under this Agreement, and/or Party A violates this Agreement or specific financing documents;</w:t>
      </w:r>
    </w:p>
    <w:p>
      <w:pPr>
        <w:spacing w:after="0" w:line="121" w:lineRule="exact"/>
        <w:rPr>
          <w:rFonts w:ascii="Times New Roman" w:cs="Times New Roman" w:eastAsia="Times New Roman" w:hAnsi="Times New Roman"/>
          <w:sz w:val="18"/>
          <w:szCs w:val="18"/>
          <w:color w:val="auto"/>
        </w:rPr>
      </w:pPr>
    </w:p>
    <w:p>
      <w:pPr>
        <w:ind w:right="20" w:firstLine="332"/>
        <w:spacing w:after="0" w:line="282" w:lineRule="auto"/>
        <w:tabs>
          <w:tab w:leader="none" w:pos="5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commits material cross defaults, including but not limited to breach of any other financing contracts signed by it; or Party A fails to repay any due debts under other financing contracts or agreements signed by it;</w:t>
      </w:r>
    </w:p>
    <w:p>
      <w:pPr>
        <w:spacing w:after="0" w:line="134" w:lineRule="exact"/>
        <w:rPr>
          <w:rFonts w:ascii="Times New Roman" w:cs="Times New Roman" w:eastAsia="Times New Roman" w:hAnsi="Times New Roman"/>
          <w:sz w:val="18"/>
          <w:szCs w:val="18"/>
          <w:color w:val="auto"/>
        </w:rPr>
      </w:pPr>
    </w:p>
    <w:p>
      <w:pPr>
        <w:jc w:val="both"/>
        <w:ind w:firstLine="332"/>
        <w:spacing w:after="0" w:line="266" w:lineRule="auto"/>
        <w:tabs>
          <w:tab w:leader="none" w:pos="5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that provides guarantee for Party A has already been or will not be capable of providing guarantee for the financing or violates any guarantee document; or changes with adverse effects on Party A have occurred, including depreciation or possible depreciation of collateral, seal-up and other property preservation measures;</w:t>
      </w:r>
    </w:p>
    <w:p>
      <w:pPr>
        <w:spacing w:after="0" w:line="135" w:lineRule="exact"/>
        <w:rPr>
          <w:rFonts w:ascii="Times New Roman" w:cs="Times New Roman" w:eastAsia="Times New Roman" w:hAnsi="Times New Roman"/>
          <w:sz w:val="18"/>
          <w:szCs w:val="18"/>
          <w:color w:val="auto"/>
        </w:rPr>
      </w:pPr>
    </w:p>
    <w:p>
      <w:pPr>
        <w:ind w:firstLine="332"/>
        <w:spacing w:after="0" w:line="282" w:lineRule="auto"/>
        <w:tabs>
          <w:tab w:leader="none" w:pos="53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suspected of participating in illegal activities such as money laundering, sanction, financing of terrorism or financing for spread of weapons of mass destruction, export control, or tax evasion.</w:t>
      </w:r>
    </w:p>
    <w:p>
      <w:pPr>
        <w:spacing w:after="0" w:line="12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increases local government’s implicit debt in violation of regulations.</w:t>
      </w:r>
    </w:p>
    <w:p>
      <w:pPr>
        <w:spacing w:after="0" w:line="198"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involved in any circumstance that may affect Party B’s asset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5" w:name="page306"/>
    <w:bookmarkEnd w:id="305"/>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ind w:firstLine="332"/>
        <w:spacing w:after="0" w:line="282" w:lineRule="auto"/>
        <w:tabs>
          <w:tab w:leader="none" w:pos="58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Breach. If Party A commits any event of breach above, Party B, besides asking Party A to compensate all the losses thus caused, such as attorney fees, is also entitled(but is not obliged to) take the following measures separately or at the same time:</w:t>
      </w:r>
    </w:p>
    <w:p>
      <w:pPr>
        <w:spacing w:after="0" w:line="121" w:lineRule="exact"/>
        <w:rPr>
          <w:sz w:val="20"/>
          <w:szCs w:val="20"/>
          <w:color w:val="auto"/>
        </w:rPr>
      </w:pPr>
    </w:p>
    <w:p>
      <w:pPr>
        <w:ind w:left="520" w:hanging="188"/>
        <w:spacing w:after="0"/>
        <w:tabs>
          <w:tab w:leader="none" w:pos="5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or cancel the credit line under this Agreement;</w:t>
      </w:r>
    </w:p>
    <w:p>
      <w:pPr>
        <w:spacing w:after="0" w:line="198" w:lineRule="exact"/>
        <w:rPr>
          <w:rFonts w:ascii="Times New Roman" w:cs="Times New Roman" w:eastAsia="Times New Roman" w:hAnsi="Times New Roman"/>
          <w:sz w:val="18"/>
          <w:szCs w:val="18"/>
          <w:color w:val="auto"/>
        </w:rPr>
      </w:pPr>
    </w:p>
    <w:p>
      <w:pPr>
        <w:jc w:val="both"/>
        <w:ind w:firstLine="332"/>
        <w:spacing w:after="0" w:line="255" w:lineRule="auto"/>
        <w:tabs>
          <w:tab w:leader="none" w:pos="53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the agreed liquidated damages from Party A, declare the debt specified in any accompanying financing document under this Agreement becomes mature in advance, either in part or in whole, and/or terminate this Agreement and all or part of accompanying financing documents; ask Party A to repay the financing capital and pay interests with no delay, either partially or wholly; as for the acceptance draft that has been realized or L/C, L/G/SLC opened by Party B within the service term of amount, Party B can ask Party A to pay more margin or transfer Party A’s deposit or its deposit in settlement account to its margin account for the purpose of external payment or margin paid for Party A probably in future. If Party B has paid relevant funds in advance, it can request Party A to make repayment immediately;</w:t>
      </w:r>
    </w:p>
    <w:p>
      <w:pPr>
        <w:spacing w:after="0" w:line="148" w:lineRule="exact"/>
        <w:rPr>
          <w:rFonts w:ascii="Times New Roman" w:cs="Times New Roman" w:eastAsia="Times New Roman" w:hAnsi="Times New Roman"/>
          <w:sz w:val="18"/>
          <w:szCs w:val="18"/>
          <w:color w:val="auto"/>
        </w:rPr>
      </w:pPr>
    </w:p>
    <w:p>
      <w:pPr>
        <w:ind w:right="20" w:firstLine="332"/>
        <w:spacing w:after="0" w:line="282" w:lineRule="auto"/>
        <w:tabs>
          <w:tab w:leader="none" w:pos="53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interests based on the default interest rate specified in this Agreement or in accompanying financing documents and charge compound interests against the interests that shall have been paid;</w:t>
      </w:r>
    </w:p>
    <w:p>
      <w:pPr>
        <w:spacing w:after="0" w:line="121"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 Party A’s fund at any of its accounts opened at Shanghai Pudong Development Bank as per the provisions of Article 17</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179"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Party A to provide other guarantee acceptable to Party B;</w:t>
      </w:r>
    </w:p>
    <w:p>
      <w:pPr>
        <w:spacing w:after="0" w:line="184"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remedial measures according to law.</w:t>
      </w:r>
    </w:p>
    <w:p>
      <w:pPr>
        <w:spacing w:after="0" w:line="181" w:lineRule="exact"/>
        <w:rPr>
          <w:sz w:val="20"/>
          <w:szCs w:val="20"/>
          <w:color w:val="auto"/>
        </w:rPr>
      </w:pPr>
    </w:p>
    <w:p>
      <w:pPr>
        <w:jc w:val="both"/>
        <w:ind w:firstLine="332"/>
        <w:spacing w:after="0" w:line="259" w:lineRule="auto"/>
        <w:tabs>
          <w:tab w:leader="none" w:pos="597"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Laws and Judicial Jurisdiction. This Agreement shall be governed and interpreted by the laws of the People’s Republic of China (excluding Hong Kong Special Administrative Region, Macao Special Administrative Region, and Taiwan Province, for the purpose of this Agreement). Any dispute in relation to the performance of this Agreement shall be resolved by both parties via negotiation. If, however, negotiation fails, both parties agree to file a lawsuit to the people’s court at the site of Party B. While the dispute is being resolved, all parties shall perform the non-disputable terms continuously.</w:t>
      </w:r>
    </w:p>
    <w:p>
      <w:pPr>
        <w:spacing w:after="0" w:line="152"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609"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Agreed Address of Service. Party B acknowledges that its valid address of service is the address first written above, at which Party A may directly give or mail any notice to be served to Party B under this Agreement, until such address is changed by Party B through announcement. Party A agrees that all notices given to Party B shall be deemed served upon actual receipt by Party B.</w:t>
      </w:r>
    </w:p>
    <w:p>
      <w:pPr>
        <w:spacing w:after="0" w:line="13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Party A acknowledges that its valid mail or electronic addresses are the address, fax and email first written above. All notices under this Agreement and legal instruments sent to Party A in course of litigation in connection herewith, such as correspondence, summons and notices, shall be deemed served as long as they are sent to the mail or electronic addresses first written above by mailing, fax or electronic transmission. The specific date of service shall be subject to the relevant provision in the </w:t>
      </w:r>
      <w:r>
        <w:rPr>
          <w:rFonts w:ascii="Times New Roman" w:cs="Times New Roman" w:eastAsia="Times New Roman" w:hAnsi="Times New Roman"/>
          <w:sz w:val="18"/>
          <w:szCs w:val="18"/>
          <w:b w:val="1"/>
          <w:bCs w:val="1"/>
          <w:i w:val="1"/>
          <w:iCs w:val="1"/>
          <w:color w:val="auto"/>
        </w:rPr>
        <w:t>Civil Procedure Law of the People’s Republic of China</w:t>
      </w:r>
      <w:r>
        <w:rPr>
          <w:rFonts w:ascii="Times New Roman" w:cs="Times New Roman" w:eastAsia="Times New Roman" w:hAnsi="Times New Roman"/>
          <w:sz w:val="18"/>
          <w:szCs w:val="18"/>
          <w:b w:val="1"/>
          <w:bCs w:val="1"/>
          <w:color w:val="auto"/>
        </w:rPr>
        <w:t>. In case of changing the address above, Party A shall give a prior notice to Party B; otherwise,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6" w:name="page307"/>
    <w:bookmarkEnd w:id="306"/>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changed without notice shall not apply to Party B, and the service of address confirmed herein shall remain valid.</w:t>
      </w:r>
    </w:p>
    <w:p>
      <w:pPr>
        <w:spacing w:after="0" w:line="185" w:lineRule="exact"/>
        <w:rPr>
          <w:sz w:val="20"/>
          <w:szCs w:val="20"/>
          <w:color w:val="auto"/>
        </w:rPr>
      </w:pPr>
    </w:p>
    <w:p>
      <w:pPr>
        <w:ind w:firstLine="332"/>
        <w:spacing w:after="0" w:line="286" w:lineRule="auto"/>
        <w:tabs>
          <w:tab w:leader="none" w:pos="621"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A business day hereunder refers to any day Party B is open for corporate business, excluding any 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holidays.</w:t>
      </w:r>
    </w:p>
    <w:p>
      <w:pPr>
        <w:spacing w:after="0" w:line="127"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94"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Severability</w:t>
      </w:r>
      <w:r>
        <w:rPr>
          <w:rFonts w:ascii="Times New Roman" w:cs="Times New Roman" w:eastAsia="Times New Roman" w:hAnsi="Times New Roman"/>
          <w:sz w:val="18"/>
          <w:szCs w:val="18"/>
          <w:color w:val="auto"/>
        </w:rPr>
        <w:t>. Any term judged invalid, illegal or non-executable forcefully in this Agreement or any financing attachment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influence the validity, legality and forceful execution of other terms stated therein.</w:t>
      </w:r>
    </w:p>
    <w:p>
      <w:pPr>
        <w:spacing w:after="0" w:line="114"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94"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Grace</w:t>
      </w:r>
      <w:r>
        <w:rPr>
          <w:rFonts w:ascii="Times New Roman" w:cs="Times New Roman" w:eastAsia="Times New Roman" w:hAnsi="Times New Roman"/>
          <w:sz w:val="18"/>
          <w:szCs w:val="18"/>
          <w:color w:val="auto"/>
        </w:rPr>
        <w:t>. Where Party B grants a term of grace or postpones an action against Party A’s breach of this Agreement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behaviors during the whole term of this Agreement, it does not impair, influence or restrict Party B from enjoying all the rights or interests as the creditor as per laws or this Agreement or mean recognizing Party A’s breach of this Agreement or Party B’s waiving of the rights to take actions against Party A’s existing or future violation behaviors.</w:t>
      </w:r>
    </w:p>
    <w:p>
      <w:pPr>
        <w:spacing w:after="0" w:line="135"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604"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 between Previous Credit Granting and this Agreement. </w:t>
      </w:r>
      <w:r>
        <w:rPr>
          <w:rFonts w:ascii="Times New Roman" w:cs="Times New Roman" w:eastAsia="Times New Roman" w:hAnsi="Times New Roman"/>
          <w:sz w:val="18"/>
          <w:szCs w:val="18"/>
          <w:color w:val="auto"/>
        </w:rPr>
        <w:t>Unless otherwise specified by both parties, if Party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Party B have concluded a credit granting agreement under which the business has not been settled since the validity of this Agreement, the business will be included in this Agreement and occupy the credit line under this Agreement directly. Party A commits that it will ask for confirmation of the guarantor under the former credit facility agreement for the debts under this Agreement continuously at the request of Party B.</w:t>
      </w:r>
    </w:p>
    <w:p>
      <w:pPr>
        <w:spacing w:after="0" w:line="152"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625"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Validity and Amendment. </w:t>
      </w:r>
      <w:r>
        <w:rPr>
          <w:rFonts w:ascii="Times New Roman" w:cs="Times New Roman" w:eastAsia="Times New Roman" w:hAnsi="Times New Roman"/>
          <w:sz w:val="18"/>
          <w:szCs w:val="18"/>
          <w:color w:val="auto"/>
        </w:rPr>
        <w:t>This Agreement comes into effect once signed (or sealed) by Party A’s legal representative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agent and stamped with official seal and signed (or sealed) by Party B’s legal representative or authorized agent and stamped with official seal. Unless Party B cancels the credit line entirely and Party A no longer has any financing or debt balance under this Agreement and all accompanying financing documents, this Agreement will remain valid permanently.</w:t>
      </w:r>
    </w:p>
    <w:p>
      <w:pPr>
        <w:spacing w:after="0" w:line="1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(End of Part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34"/>
        </w:trPr>
        <w:tc>
          <w:tcPr>
            <w:tcW w:w="2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Credit Line Agreement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7"/>
        </w:trPr>
        <w:tc>
          <w:tcPr>
            <w:tcW w:w="2180" w:type="dxa"/>
            <w:vAlign w:val="bottom"/>
          </w:tcPr>
          <w:p>
            <w:pPr>
              <w:spacing w:after="0"/>
              <w:rPr>
                <w:sz w:val="24"/>
                <w:szCs w:val="24"/>
                <w:color w:val="auto"/>
              </w:rPr>
            </w:pPr>
          </w:p>
        </w:tc>
        <w:tc>
          <w:tcPr>
            <w:tcW w:w="77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Part 2 Commercial Terms (Financing Credit Line Form)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60" w:type="dxa"/>
            <w:vAlign w:val="bottom"/>
            <w:tcBorders>
              <w:bottom w:val="single" w:sz="8" w:color="auto"/>
            </w:tcBorders>
            <w:gridSpan w:val="4"/>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6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Party A: </w:t>
            </w:r>
            <w:r>
              <w:rPr>
                <w:rFonts w:ascii="Times New Roman" w:cs="Times New Roman" w:eastAsia="Times New Roman" w:hAnsi="Times New Roman"/>
                <w:sz w:val="18"/>
                <w:szCs w:val="18"/>
                <w:color w:val="auto"/>
              </w:rPr>
              <w:t>Shenzhen Xunlei Networking Technologies Co., Ltd.</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1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Descriptions of Credit Line</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1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Amount (currency) of credit</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RMB Three Hundred and</w:t>
            </w:r>
          </w:p>
        </w:tc>
        <w:tc>
          <w:tcPr>
            <w:tcW w:w="30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Term of availability</w:t>
            </w:r>
          </w:p>
        </w:tc>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May 12, 2025</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April 1, 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1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line</w:t>
            </w:r>
          </w:p>
        </w:tc>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Sixty Five Million Only</w:t>
            </w:r>
          </w:p>
        </w:tc>
        <w:tc>
          <w:tcPr>
            <w:tcW w:w="3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80" w:type="dxa"/>
            <w:vAlign w:val="bottom"/>
            <w:tcBorders>
              <w:right w:val="single" w:sz="8" w:color="auto"/>
            </w:tcBorders>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18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Mode of revolving</w:t>
            </w:r>
          </w:p>
        </w:tc>
        <w:tc>
          <w:tcPr>
            <w:tcW w:w="196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Revolving;</w:t>
            </w:r>
          </w:p>
        </w:tc>
        <w:tc>
          <w:tcPr>
            <w:tcW w:w="5780" w:type="dxa"/>
            <w:vAlign w:val="bottom"/>
            <w:gridSpan w:val="3"/>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Non-revolving;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180" w:type="dxa"/>
            <w:vAlign w:val="bottom"/>
            <w:tcBorders>
              <w:right w:val="single" w:sz="8" w:color="auto"/>
            </w:tcBorders>
          </w:tcPr>
          <w:p>
            <w:pPr>
              <w:spacing w:after="0"/>
              <w:rPr>
                <w:sz w:val="11"/>
                <w:szCs w:val="11"/>
                <w:color w:val="auto"/>
              </w:rPr>
            </w:pPr>
          </w:p>
        </w:tc>
        <w:tc>
          <w:tcPr>
            <w:tcW w:w="1960" w:type="dxa"/>
            <w:vAlign w:val="bottom"/>
            <w:vMerge w:val="continue"/>
          </w:tcPr>
          <w:p>
            <w:pPr>
              <w:spacing w:after="0"/>
              <w:rPr>
                <w:sz w:val="11"/>
                <w:szCs w:val="11"/>
                <w:color w:val="auto"/>
              </w:rPr>
            </w:pPr>
          </w:p>
        </w:tc>
        <w:tc>
          <w:tcPr>
            <w:tcW w:w="57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1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tcBorders>
            <w:gridSpan w:val="2"/>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Nature of credit line</w:t>
            </w:r>
          </w:p>
        </w:tc>
        <w:tc>
          <w:tcPr>
            <w:tcW w:w="7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Commitments that are unconditionally cancellable at any time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18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-1568450</wp:posOffset>
            </wp:positionV>
            <wp:extent cx="8890" cy="42005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8890" cy="420052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-1568450</wp:posOffset>
            </wp:positionV>
            <wp:extent cx="8890" cy="42005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8890" cy="420052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guarantor that provides guarantee for the debt under this Agreement and guarantee contract includes but is not limited to:</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52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Guarantor</w:t>
            </w:r>
          </w:p>
        </w:tc>
        <w:tc>
          <w:tcPr>
            <w:tcW w:w="3480" w:type="dxa"/>
            <w:vAlign w:val="bottom"/>
            <w:tcBorders>
              <w:top w:val="single" w:sz="8" w:color="auto"/>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Shenzhen Xunlei Networking Technologies</w:t>
            </w:r>
          </w:p>
        </w:tc>
        <w:tc>
          <w:tcPr>
            <w:tcW w:w="1700" w:type="dxa"/>
            <w:vAlign w:val="bottom"/>
            <w:tcBorders>
              <w:top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Mode of guarantee</w:t>
            </w:r>
          </w:p>
        </w:tc>
        <w:tc>
          <w:tcPr>
            <w:tcW w:w="3240" w:type="dxa"/>
            <w:vAlign w:val="bottom"/>
            <w:tcBorders>
              <w:top w:val="single" w:sz="8" w:color="auto"/>
            </w:tcBorders>
            <w:gridSpan w:val="3"/>
            <w:vMerge w:val="restart"/>
          </w:tcPr>
          <w:p>
            <w:pPr>
              <w:jc w:val="right"/>
              <w:ind w:right="4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Mortgage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Guarantee</w:t>
            </w:r>
          </w:p>
        </w:tc>
        <w:tc>
          <w:tcPr>
            <w:tcW w:w="0" w:type="dxa"/>
            <w:vAlign w:val="bottom"/>
          </w:tcPr>
          <w:p>
            <w:pPr>
              <w:spacing w:after="0"/>
              <w:rPr>
                <w:sz w:val="1"/>
                <w:szCs w:val="1"/>
                <w:color w:val="auto"/>
              </w:rPr>
            </w:pPr>
          </w:p>
        </w:tc>
      </w:tr>
      <w:tr>
        <w:trPr>
          <w:trHeight w:val="154"/>
        </w:trPr>
        <w:tc>
          <w:tcPr>
            <w:tcW w:w="1520" w:type="dxa"/>
            <w:vAlign w:val="bottom"/>
            <w:tcBorders>
              <w:right w:val="single" w:sz="8" w:color="auto"/>
            </w:tcBorders>
            <w:vMerge w:val="continue"/>
          </w:tcPr>
          <w:p>
            <w:pPr>
              <w:spacing w:after="0"/>
              <w:rPr>
                <w:sz w:val="13"/>
                <w:szCs w:val="13"/>
                <w:color w:val="auto"/>
              </w:rPr>
            </w:pP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 Ltd.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gridSpan w:val="2"/>
            <w:vMerge w:val="continue"/>
          </w:tcPr>
          <w:p>
            <w:pPr>
              <w:spacing w:after="0"/>
              <w:rPr>
                <w:sz w:val="13"/>
                <w:szCs w:val="13"/>
                <w:color w:val="auto"/>
              </w:rPr>
            </w:pPr>
          </w:p>
        </w:tc>
        <w:tc>
          <w:tcPr>
            <w:tcW w:w="3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20" w:type="dxa"/>
            <w:vAlign w:val="bottom"/>
            <w:tcBorders>
              <w:right w:val="single" w:sz="8" w:color="auto"/>
            </w:tcBorders>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5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Guarantor</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Mode of guarantee</w:t>
            </w:r>
          </w:p>
        </w:tc>
        <w:tc>
          <w:tcPr>
            <w:tcW w:w="3240" w:type="dxa"/>
            <w:vAlign w:val="bottom"/>
            <w:gridSpan w:val="3"/>
          </w:tcPr>
          <w:p>
            <w:pPr>
              <w:jc w:val="right"/>
              <w:ind w:right="4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Mortgage;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Guarantee</w:t>
            </w:r>
          </w:p>
        </w:tc>
        <w:tc>
          <w:tcPr>
            <w:tcW w:w="0" w:type="dxa"/>
            <w:vAlign w:val="bottom"/>
          </w:tcPr>
          <w:p>
            <w:pPr>
              <w:spacing w:after="0"/>
              <w:rPr>
                <w:sz w:val="1"/>
                <w:szCs w:val="1"/>
                <w:color w:val="auto"/>
              </w:rPr>
            </w:pPr>
          </w:p>
        </w:tc>
      </w:tr>
      <w:tr>
        <w:trPr>
          <w:trHeight w:val="67"/>
        </w:trPr>
        <w:tc>
          <w:tcPr>
            <w:tcW w:w="15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Guarantor</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Mode of guarantee</w:t>
            </w:r>
          </w:p>
        </w:tc>
        <w:tc>
          <w:tcPr>
            <w:tcW w:w="3240" w:type="dxa"/>
            <w:vAlign w:val="bottom"/>
            <w:gridSpan w:val="3"/>
          </w:tcPr>
          <w:p>
            <w:pPr>
              <w:jc w:val="right"/>
              <w:ind w:right="4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Mortgage;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Guarantee</w:t>
            </w:r>
          </w:p>
        </w:tc>
        <w:tc>
          <w:tcPr>
            <w:tcW w:w="0" w:type="dxa"/>
            <w:vAlign w:val="bottom"/>
          </w:tcPr>
          <w:p>
            <w:pPr>
              <w:spacing w:after="0"/>
              <w:rPr>
                <w:sz w:val="1"/>
                <w:szCs w:val="1"/>
                <w:color w:val="auto"/>
              </w:rPr>
            </w:pPr>
          </w:p>
        </w:tc>
      </w:tr>
      <w:tr>
        <w:trPr>
          <w:trHeight w:val="67"/>
        </w:trPr>
        <w:tc>
          <w:tcPr>
            <w:tcW w:w="15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1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Margin proportion</w:t>
            </w:r>
          </w:p>
        </w:tc>
        <w:tc>
          <w:tcPr>
            <w:tcW w:w="92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Discount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6"/>
              </w:rPr>
              <w:t>%;</w:t>
            </w:r>
            <w:r>
              <w:rPr>
                <w:rFonts w:ascii="MS PGothic" w:cs="MS PGothic" w:eastAsia="MS PGothic" w:hAnsi="MS PGothic"/>
                <w:sz w:val="18"/>
                <w:szCs w:val="18"/>
                <w:color w:val="auto"/>
                <w:w w:val="96"/>
              </w:rPr>
              <w:t>☐ ☐</w:t>
            </w:r>
            <w:r>
              <w:rPr>
                <w:rFonts w:ascii="Times New Roman" w:cs="Times New Roman" w:eastAsia="Times New Roman" w:hAnsi="Times New Roman"/>
                <w:sz w:val="18"/>
                <w:szCs w:val="18"/>
                <w:color w:val="auto"/>
                <w:w w:val="96"/>
              </w:rPr>
              <w:t>L/C opening</w:t>
            </w:r>
          </w:p>
        </w:tc>
        <w:tc>
          <w:tcPr>
            <w:tcW w:w="3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Banknote opening</w:t>
            </w:r>
          </w:p>
        </w:tc>
        <w:tc>
          <w:tcPr>
            <w:tcW w:w="1980" w:type="dxa"/>
            <w:vAlign w:val="bottom"/>
          </w:tcPr>
          <w:p>
            <w:pPr>
              <w:jc w:val="right"/>
              <w:ind w:right="450"/>
              <w:spacing w:after="0" w:line="207" w:lineRule="exact"/>
              <w:rPr>
                <w:sz w:val="20"/>
                <w:szCs w:val="20"/>
                <w:color w:val="auto"/>
              </w:rPr>
            </w:pPr>
            <w:r>
              <w:rPr>
                <w:rFonts w:ascii="Times New Roman" w:cs="Times New Roman" w:eastAsia="Times New Roman" w:hAnsi="Times New Roman"/>
                <w:sz w:val="18"/>
                <w:szCs w:val="18"/>
                <w:color w:val="auto"/>
                <w:w w:val="99"/>
              </w:rPr>
              <w:t>%;</w:t>
            </w:r>
            <w:r>
              <w:rPr>
                <w:rFonts w:ascii="MS PGothic" w:cs="MS PGothic" w:eastAsia="MS PGothic" w:hAnsi="MS PGothic"/>
                <w:sz w:val="18"/>
                <w:szCs w:val="18"/>
                <w:color w:val="auto"/>
                <w:w w:val="99"/>
              </w:rPr>
              <w:t>☐ ☐</w:t>
            </w:r>
            <w:r>
              <w:rPr>
                <w:rFonts w:ascii="Times New Roman" w:cs="Times New Roman" w:eastAsia="Times New Roman" w:hAnsi="Times New Roman"/>
                <w:sz w:val="18"/>
                <w:szCs w:val="18"/>
                <w:color w:val="auto"/>
                <w:w w:val="99"/>
              </w:rPr>
              <w:t>Opening of</w:t>
            </w: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vMerge w:val="restart"/>
          </w:tcPr>
          <w:p>
            <w:pPr>
              <w:ind w:left="60"/>
              <w:spacing w:after="0" w:line="157" w:lineRule="exact"/>
              <w:rPr>
                <w:sz w:val="20"/>
                <w:szCs w:val="20"/>
                <w:color w:val="auto"/>
              </w:rPr>
            </w:pPr>
            <w:r>
              <w:rPr>
                <w:rFonts w:ascii="Times New Roman" w:cs="Times New Roman" w:eastAsia="Times New Roman" w:hAnsi="Times New Roman"/>
                <w:sz w:val="18"/>
                <w:szCs w:val="18"/>
                <w:color w:val="auto"/>
              </w:rPr>
              <w:t>for different</w:t>
            </w: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520" w:type="dxa"/>
            <w:vAlign w:val="bottom"/>
            <w:tcBorders>
              <w:right w:val="single" w:sz="8" w:color="auto"/>
            </w:tcBorders>
            <w:vMerge w:val="continue"/>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L/G/SLC</w:t>
            </w:r>
          </w:p>
        </w:tc>
        <w:tc>
          <w:tcPr>
            <w:tcW w:w="620" w:type="dxa"/>
            <w:vAlign w:val="bottom"/>
            <w:vMerge w:val="restart"/>
          </w:tcPr>
          <w:p>
            <w:pPr>
              <w:spacing w:after="0"/>
              <w:rPr>
                <w:sz w:val="11"/>
                <w:szCs w:val="11"/>
                <w:color w:val="auto"/>
              </w:rPr>
            </w:pPr>
          </w:p>
        </w:tc>
        <w:tc>
          <w:tcPr>
            <w:tcW w:w="1940" w:type="dxa"/>
            <w:vAlign w:val="bottom"/>
            <w:gridSpan w:val="5"/>
            <w:vMerge w:val="restart"/>
          </w:tcPr>
          <w:p>
            <w:pPr>
              <w:ind w:left="40"/>
              <w:spacing w:after="0" w:line="216"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w:t>
            </w: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businesses</w:t>
            </w: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940" w:type="dxa"/>
            <w:vAlign w:val="bottom"/>
            <w:gridSpan w:val="5"/>
            <w:vMerge w:val="continue"/>
          </w:tcPr>
          <w:p>
            <w:pPr>
              <w:spacing w:after="0"/>
              <w:rPr>
                <w:sz w:val="7"/>
                <w:szCs w:val="7"/>
                <w:color w:val="auto"/>
              </w:rPr>
            </w:pPr>
          </w:p>
        </w:tc>
        <w:tc>
          <w:tcPr>
            <w:tcW w:w="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520" w:type="dxa"/>
            <w:vAlign w:val="bottom"/>
            <w:tcBorders>
              <w:right w:val="single" w:sz="8" w:color="auto"/>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Applicable financing varieties and condition of credit line </w:t>
      </w:r>
      <w:r>
        <w:rPr>
          <w:rFonts w:ascii="Times New Roman" w:cs="Times New Roman" w:eastAsia="Times New Roman" w:hAnsi="Times New Roman"/>
          <w:sz w:val="18"/>
          <w:szCs w:val="18"/>
          <w:color w:val="auto"/>
        </w:rPr>
        <w:t>(tick the variety chosen with “√” and delete inapplicable ones with “×”)</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980" w:type="dxa"/>
            <w:vAlign w:val="bottom"/>
            <w:tcBorders>
              <w:top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Applicable financing variety</w:t>
            </w:r>
          </w:p>
        </w:tc>
        <w:tc>
          <w:tcPr>
            <w:tcW w:w="22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Credit line (amount and</w:t>
            </w:r>
          </w:p>
        </w:tc>
        <w:tc>
          <w:tcPr>
            <w:tcW w:w="150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Longest term per</w:t>
            </w:r>
          </w:p>
        </w:tc>
        <w:tc>
          <w:tcPr>
            <w:tcW w:w="13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Remarks</w:t>
            </w:r>
          </w:p>
        </w:tc>
        <w:tc>
          <w:tcPr>
            <w:tcW w:w="0" w:type="dxa"/>
            <w:vAlign w:val="bottom"/>
          </w:tcPr>
          <w:p>
            <w:pPr>
              <w:spacing w:after="0"/>
              <w:rPr>
                <w:sz w:val="1"/>
                <w:szCs w:val="1"/>
                <w:color w:val="auto"/>
              </w:rPr>
            </w:pPr>
          </w:p>
        </w:tc>
      </w:tr>
      <w:tr>
        <w:trPr>
          <w:trHeight w:val="126"/>
        </w:trPr>
        <w:tc>
          <w:tcPr>
            <w:tcW w:w="98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currency)</w:t>
            </w:r>
          </w:p>
        </w:tc>
        <w:tc>
          <w:tcPr>
            <w:tcW w:w="15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business</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98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Borders>
              <w:right w:val="single" w:sz="8" w:color="auto"/>
            </w:tcBorders>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Loan</w:t>
            </w:r>
          </w:p>
        </w:tc>
        <w:tc>
          <w:tcPr>
            <w:tcW w:w="222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80" w:type="dxa"/>
            <w:vAlign w:val="bottom"/>
            <w:tcBorders>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1066" w:right="97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17145</wp:posOffset>
            </wp:positionV>
            <wp:extent cx="6301105" cy="56318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6301105" cy="5631815"/>
                    </a:xfrm>
                    <a:prstGeom prst="rect">
                      <a:avLst/>
                    </a:prstGeom>
                    <a:noFill/>
                  </pic:spPr>
                </pic:pic>
              </a:graphicData>
            </a:graphic>
          </wp:anchor>
        </w:drawing>
      </w:r>
    </w:p>
    <w:p>
      <w:pPr>
        <w:spacing w:after="0" w:line="299"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Working capital loan</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Fixed assets loan</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M&amp;A loan</w:t>
      </w:r>
    </w:p>
    <w:p>
      <w:pPr>
        <w:spacing w:after="0" w:line="198" w:lineRule="exact"/>
        <w:rPr>
          <w:sz w:val="20"/>
          <w:szCs w:val="20"/>
          <w:color w:val="auto"/>
        </w:rPr>
      </w:pPr>
    </w:p>
    <w:p>
      <w:pPr>
        <w:spacing w:after="0" w:line="207" w:lineRule="exact"/>
        <w:tabs>
          <w:tab w:leader="none" w:pos="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financing</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Opening of bank acceptance</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acceptance discount</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(including negotiated interest</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payment)</w:t>
      </w:r>
    </w:p>
    <w:p>
      <w:pPr>
        <w:spacing w:after="0" w:line="139"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Banknotes discount</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acceptance discount</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(client is acceptor)</w:t>
      </w:r>
    </w:p>
    <w:p>
      <w:pPr>
        <w:spacing w:after="0" w:line="137"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Factorage financing</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Opening of L/C (including</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buyer’s usance)</w:t>
      </w:r>
    </w:p>
    <w:p>
      <w:pPr>
        <w:spacing w:after="0" w:line="137"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Advance against inward</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documentary bills (under L/C/</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inward collection)</w:t>
      </w:r>
    </w:p>
    <w:p>
      <w:pPr>
        <w:spacing w:after="0" w:line="139"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Negotiation of export L/C</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Outward bills purchased</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collection</w:t>
      </w:r>
    </w:p>
    <w:p>
      <w:pPr>
        <w:spacing w:after="0" w:line="137"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Packing loan</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Opening of L/G/SLC</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Import Refinance</w:t>
      </w:r>
    </w:p>
    <w:p>
      <w:pPr>
        <w:spacing w:after="0" w:line="198" w:lineRule="exact"/>
        <w:rPr>
          <w:sz w:val="20"/>
          <w:szCs w:val="20"/>
          <w:color w:val="auto"/>
        </w:rPr>
      </w:pPr>
    </w:p>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Financing of outward</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remittance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360045</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00"/>
          </w:cols>
          <w:pgMar w:left="1400" w:top="1066" w:right="109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301105" cy="40201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6301105" cy="40201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Import security</w:t>
      </w:r>
    </w:p>
    <w:p>
      <w:pPr>
        <w:spacing w:after="0" w:line="198" w:lineRule="exact"/>
        <w:rPr>
          <w:sz w:val="20"/>
          <w:szCs w:val="20"/>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Domestic L/C buyer’s</w:t>
      </w:r>
    </w:p>
    <w:p>
      <w:pPr>
        <w:spacing w:after="0" w:line="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financing</w:t>
      </w:r>
    </w:p>
    <w:p>
      <w:pPr>
        <w:spacing w:after="0" w:line="137" w:lineRule="exact"/>
        <w:rPr>
          <w:sz w:val="20"/>
          <w:szCs w:val="20"/>
          <w:color w:val="auto"/>
        </w:rPr>
      </w:pPr>
    </w:p>
    <w:p>
      <w:pPr>
        <w:ind w:left="420"/>
        <w:spacing w:after="0" w:line="207" w:lineRule="exact"/>
        <w:tabs>
          <w:tab w:leader="none" w:pos="10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matters as mutually agreed:</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notes:</w:t>
      </w:r>
    </w:p>
    <w:p>
      <w:pPr>
        <w:spacing w:after="0" w:line="90" w:lineRule="exact"/>
        <w:rPr>
          <w:sz w:val="20"/>
          <w:szCs w:val="20"/>
          <w:color w:val="auto"/>
        </w:rPr>
      </w:pPr>
    </w:p>
    <w:p>
      <w:pPr>
        <w:ind w:left="120" w:right="120" w:firstLine="5"/>
        <w:spacing w:after="0" w:line="266" w:lineRule="auto"/>
        <w:tabs>
          <w:tab w:leader="none" w:pos="37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credit line occupied by all applicable financing varieties shall not exceed the maximum credit line. Where Party A requires the credit line of one applicable financing variety apply independently instead of together with other applicable financing varieties, the amount of such applicable financing variety shall be marked separately.</w:t>
      </w:r>
    </w:p>
    <w:p>
      <w:pPr>
        <w:spacing w:after="0" w:line="54" w:lineRule="exact"/>
        <w:rPr>
          <w:rFonts w:ascii="Times New Roman" w:cs="Times New Roman" w:eastAsia="Times New Roman" w:hAnsi="Times New Roman"/>
          <w:sz w:val="18"/>
          <w:szCs w:val="18"/>
          <w:color w:val="auto"/>
        </w:rPr>
      </w:pPr>
    </w:p>
    <w:p>
      <w:pPr>
        <w:ind w:left="380" w:hanging="255"/>
        <w:spacing w:after="0"/>
        <w:tabs>
          <w:tab w:leader="none" w:pos="3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also the mortgagor or pledger, fill in “party concerned” or “Party A’s name” in guarantor column.</w:t>
      </w:r>
    </w:p>
    <w:p>
      <w:pPr>
        <w:spacing w:after="0" w:line="103" w:lineRule="exact"/>
        <w:rPr>
          <w:rFonts w:ascii="Times New Roman" w:cs="Times New Roman" w:eastAsia="Times New Roman" w:hAnsi="Times New Roman"/>
          <w:sz w:val="18"/>
          <w:szCs w:val="18"/>
          <w:color w:val="auto"/>
        </w:rPr>
      </w:pPr>
    </w:p>
    <w:p>
      <w:pPr>
        <w:jc w:val="both"/>
        <w:ind w:left="120" w:right="400" w:firstLine="5"/>
        <w:spacing w:after="0" w:line="266" w:lineRule="auto"/>
        <w:tabs>
          <w:tab w:leader="none" w:pos="37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RMB interest rate is an annual interest rate, the floating cycle should be marked for floating interest rate. Fill in “amount of single transaction” or “rate” in the rate column. Except otherwise agreed upon, the loan interest rate shall be calculated by simple interest. The method of interest calculation can be found on the website of the People’s Bank of China.</w:t>
      </w:r>
    </w:p>
    <w:p>
      <w:pPr>
        <w:spacing w:after="0" w:line="14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This Agreement is made in </w:t>
      </w:r>
      <w:r>
        <w:rPr>
          <w:rFonts w:ascii="Times New Roman" w:cs="Times New Roman" w:eastAsia="Times New Roman" w:hAnsi="Times New Roman"/>
          <w:sz w:val="18"/>
          <w:szCs w:val="18"/>
          <w:u w:val="single" w:color="auto"/>
          <w:color w:val="auto"/>
        </w:rPr>
        <w:t>five</w:t>
      </w:r>
      <w:r>
        <w:rPr>
          <w:rFonts w:ascii="Times New Roman" w:cs="Times New Roman" w:eastAsia="Times New Roman" w:hAnsi="Times New Roman"/>
          <w:sz w:val="18"/>
          <w:szCs w:val="18"/>
          <w:color w:val="auto"/>
        </w:rPr>
        <w:t xml:space="preserve"> original copies,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copy for Party A, </w:t>
      </w: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copies for Party B,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copy for the mortgage registration authority, and all copies having the same legal force.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066" w:right="1099" w:bottom="1440" w:gutter="0" w:footer="0" w:header="0"/>
        </w:sectPr>
      </w:pPr>
    </w:p>
    <w:bookmarkStart w:id="310" w:name="page311"/>
    <w:bookmarkEnd w:id="310"/>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page is intentionally left for signature and contains no text)</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Agreement is concluded by and between the following two parties on </w:t>
      </w:r>
      <w:r>
        <w:rPr>
          <w:rFonts w:ascii="Times New Roman" w:cs="Times New Roman" w:eastAsia="Times New Roman" w:hAnsi="Times New Roman"/>
          <w:sz w:val="18"/>
          <w:szCs w:val="18"/>
          <w:b w:val="1"/>
          <w:bCs w:val="1"/>
          <w:u w:val="single" w:color="auto"/>
          <w:color w:val="auto"/>
        </w:rPr>
        <w:t>May 12, 2026</w:t>
      </w:r>
      <w:r>
        <w:rPr>
          <w:rFonts w:ascii="Times New Roman" w:cs="Times New Roman" w:eastAsia="Times New Roman" w:hAnsi="Times New Roman"/>
          <w:sz w:val="18"/>
          <w:szCs w:val="18"/>
          <w:b w:val="1"/>
          <w:bCs w:val="1"/>
          <w:color w:val="auto"/>
        </w:rPr>
        <w:t>. Party A hereby acknowledges that prior to the signature of this Agreement, both parties have explained and discussed in detail all the terms contained herein and have no doubt regarding these terms. Both parties have also understood their respective rights and obligations and the legal meaning of terms regarding restrictions of responsibilities and exception accurately.</w:t>
      </w:r>
    </w:p>
    <w:p>
      <w:pPr>
        <w:spacing w:after="0" w:line="163"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Party A (official seal)</w:t>
      </w:r>
      <w:r>
        <w:rPr>
          <w:sz w:val="20"/>
          <w:szCs w:val="20"/>
          <w:color w:val="auto"/>
        </w:rPr>
        <w:tab/>
      </w:r>
      <w:r>
        <w:rPr>
          <w:rFonts w:ascii="Times New Roman" w:cs="Times New Roman" w:eastAsia="Times New Roman" w:hAnsi="Times New Roman"/>
          <w:sz w:val="18"/>
          <w:szCs w:val="18"/>
          <w:b w:val="1"/>
          <w:bCs w:val="1"/>
          <w:color w:val="auto"/>
        </w:rPr>
        <w:t>Party B (official seal or special seal for contract)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Legal representative or authorized agent (signature or Legal representative or authorized agent (signature or</w:t>
      </w:r>
    </w:p>
    <w:p>
      <w:pPr>
        <w:spacing w:after="0" w:line="31"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seal)</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11" w:name="page312"/>
    <w:bookmarkEnd w:id="311"/>
    <w:p>
      <w:pPr>
        <w:ind w:left="8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t>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Agreement on Change of Credit Line (Form)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2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96"/>
        </w:trPr>
        <w:tc>
          <w:tcPr>
            <w:tcW w:w="8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Party A</w:t>
            </w:r>
          </w:p>
        </w:tc>
        <w:tc>
          <w:tcPr>
            <w:tcW w:w="2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Party B</w:t>
            </w:r>
          </w:p>
        </w:tc>
        <w:tc>
          <w:tcPr>
            <w:tcW w:w="10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 Pudong Development Bank Co., Ltd.,</w:t>
            </w: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continue"/>
          </w:tcPr>
          <w:p>
            <w:pPr>
              <w:spacing w:after="0"/>
              <w:rPr>
                <w:sz w:val="10"/>
                <w:szCs w:val="10"/>
                <w:color w:val="auto"/>
              </w:rPr>
            </w:pPr>
          </w:p>
        </w:tc>
        <w:tc>
          <w:tcPr>
            <w:tcW w:w="2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5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Branch</w:t>
            </w:r>
          </w:p>
        </w:tc>
        <w:tc>
          <w:tcPr>
            <w:tcW w:w="0" w:type="dxa"/>
            <w:vAlign w:val="bottom"/>
          </w:tcPr>
          <w:p>
            <w:pPr>
              <w:spacing w:after="0"/>
              <w:rPr>
                <w:sz w:val="1"/>
                <w:szCs w:val="1"/>
                <w:color w:val="auto"/>
              </w:rPr>
            </w:pPr>
          </w:p>
        </w:tc>
      </w:tr>
      <w:tr>
        <w:trPr>
          <w:trHeight w:val="68"/>
        </w:trPr>
        <w:tc>
          <w:tcPr>
            <w:tcW w:w="840" w:type="dxa"/>
            <w:vAlign w:val="bottom"/>
            <w:tcBorders>
              <w:right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840" w:type="dxa"/>
            <w:vAlign w:val="bottom"/>
            <w:tcBorders>
              <w:bottom w:val="single" w:sz="8" w:color="auto"/>
              <w:right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 xml:space="preserve">According to the </w:t>
            </w:r>
            <w:r>
              <w:rPr>
                <w:rFonts w:ascii="Times New Roman" w:cs="Times New Roman" w:eastAsia="Times New Roman" w:hAnsi="Times New Roman"/>
                <w:sz w:val="18"/>
                <w:szCs w:val="18"/>
                <w:i w:val="1"/>
                <w:iCs w:val="1"/>
                <w:color w:val="auto"/>
                <w:w w:val="98"/>
              </w:rPr>
              <w:t>Credit Line Agreement</w:t>
            </w:r>
            <w:r>
              <w:rPr>
                <w:rFonts w:ascii="Times New Roman" w:cs="Times New Roman" w:eastAsia="Times New Roman" w:hAnsi="Times New Roman"/>
                <w:sz w:val="18"/>
                <w:szCs w:val="18"/>
                <w:color w:val="auto"/>
                <w:w w:val="98"/>
              </w:rPr>
              <w:t xml:space="preserve"> (No.</w:t>
            </w:r>
          </w:p>
        </w:tc>
        <w:tc>
          <w:tcPr>
            <w:tcW w:w="580" w:type="dxa"/>
            <w:vAlign w:val="bottom"/>
            <w:tcBorders>
              <w:bottom w:val="single" w:sz="8" w:color="auto"/>
            </w:tcBorders>
          </w:tcPr>
          <w:p>
            <w:pPr>
              <w:spacing w:after="0"/>
              <w:rPr>
                <w:sz w:val="22"/>
                <w:szCs w:val="22"/>
                <w:color w:val="auto"/>
              </w:rPr>
            </w:pPr>
          </w:p>
        </w:tc>
        <w:tc>
          <w:tcPr>
            <w:tcW w:w="5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concluded by and between Party A and Party B, both parties hereto agree 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-582295</wp:posOffset>
            </wp:positionV>
            <wp:extent cx="8890" cy="38150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8890" cy="38150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-582295</wp:posOffset>
            </wp:positionV>
            <wp:extent cx="8890" cy="38150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8890" cy="3815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 relevant matters related to the credit line that Party B grants to Party A. Both parties hereby agree the change agreement</w:t>
            </w:r>
          </w:p>
        </w:tc>
        <w:tc>
          <w:tcPr>
            <w:tcW w:w="0" w:type="dxa"/>
            <w:vAlign w:val="bottom"/>
          </w:tcPr>
          <w:p>
            <w:pPr>
              <w:spacing w:after="0"/>
              <w:rPr>
                <w:sz w:val="1"/>
                <w:szCs w:val="1"/>
                <w:color w:val="auto"/>
              </w:rPr>
            </w:pPr>
          </w:p>
        </w:tc>
      </w:tr>
      <w:tr>
        <w:trPr>
          <w:trHeight w:val="218"/>
        </w:trPr>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xml:space="preserve">serves as an indispensable part of the </w:t>
            </w:r>
            <w:r>
              <w:rPr>
                <w:rFonts w:ascii="Times New Roman" w:cs="Times New Roman" w:eastAsia="Times New Roman" w:hAnsi="Times New Roman"/>
                <w:sz w:val="18"/>
                <w:szCs w:val="18"/>
                <w:i w:val="1"/>
                <w:iCs w:val="1"/>
                <w:color w:val="auto"/>
              </w:rPr>
              <w:t>Credit Line Agreement</w:t>
            </w:r>
            <w:r>
              <w:rPr>
                <w:rFonts w:ascii="Times New Roman" w:cs="Times New Roman" w:eastAsia="Times New Roman" w:hAnsi="Times New Roman"/>
                <w:sz w:val="18"/>
                <w:szCs w:val="18"/>
                <w:color w:val="auto"/>
              </w:rPr>
              <w:t xml:space="preserve"> which will remain valid except for the terms specified in the change</w:t>
            </w:r>
          </w:p>
        </w:tc>
        <w:tc>
          <w:tcPr>
            <w:tcW w:w="0" w:type="dxa"/>
            <w:vAlign w:val="bottom"/>
          </w:tcPr>
          <w:p>
            <w:pPr>
              <w:spacing w:after="0"/>
              <w:rPr>
                <w:sz w:val="1"/>
                <w:szCs w:val="1"/>
                <w:color w:val="auto"/>
              </w:rPr>
            </w:pPr>
          </w:p>
        </w:tc>
      </w:tr>
      <w:tr>
        <w:trPr>
          <w:trHeight w:val="234"/>
        </w:trPr>
        <w:tc>
          <w:tcPr>
            <w:tcW w:w="1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3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Main matter</w:t>
            </w:r>
          </w:p>
        </w:tc>
        <w:tc>
          <w:tcPr>
            <w:tcW w:w="8400" w:type="dxa"/>
            <w:vAlign w:val="bottom"/>
            <w:gridSpan w:val="3"/>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Amount of credit line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Term of availability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Financing variety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Mode of guarantee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w:t>
            </w:r>
          </w:p>
        </w:tc>
        <w:tc>
          <w:tcPr>
            <w:tcW w:w="0" w:type="dxa"/>
            <w:vAlign w:val="bottom"/>
          </w:tcPr>
          <w:p>
            <w:pPr>
              <w:spacing w:after="0"/>
              <w:rPr>
                <w:sz w:val="1"/>
                <w:szCs w:val="1"/>
                <w:color w:val="auto"/>
              </w:rPr>
            </w:pPr>
          </w:p>
        </w:tc>
      </w:tr>
      <w:tr>
        <w:trPr>
          <w:trHeight w:val="154"/>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changed</w:t>
            </w:r>
          </w:p>
        </w:tc>
        <w:tc>
          <w:tcPr>
            <w:tcW w:w="8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20" w:type="dxa"/>
            <w:vAlign w:val="bottom"/>
            <w:tcBorders>
              <w:right w:val="single" w:sz="8" w:color="auto"/>
            </w:tcBorders>
            <w:vMerge w:val="continue"/>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changed financing credit line form as mutually confirmed by Party A and Party B is as below:</w:t>
            </w: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54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Amount of credit</w:t>
            </w:r>
          </w:p>
        </w:tc>
        <w:tc>
          <w:tcPr>
            <w:tcW w:w="300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Expiry date of </w:t>
            </w:r>
            <w:r>
              <w:rPr>
                <w:rFonts w:ascii="Times New Roman" w:cs="Times New Roman" w:eastAsia="Times New Roman" w:hAnsi="Times New Roman"/>
                <w:sz w:val="18"/>
                <w:szCs w:val="18"/>
                <w:color w:val="auto"/>
              </w:rPr>
              <w:t>term</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20" w:type="dxa"/>
            <w:vAlign w:val="bottom"/>
            <w:tcBorders>
              <w:right w:val="single" w:sz="8" w:color="auto"/>
            </w:tcBorders>
            <w:vMerge w:val="continue"/>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of availability of</w:t>
            </w: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line (currency)</w:t>
            </w:r>
          </w:p>
        </w:tc>
        <w:tc>
          <w:tcPr>
            <w:tcW w:w="30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credit line</w:t>
            </w:r>
          </w:p>
        </w:tc>
        <w:tc>
          <w:tcPr>
            <w:tcW w:w="3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right w:val="single" w:sz="8" w:color="auto"/>
            </w:tcBorders>
          </w:tcPr>
          <w:p>
            <w:pPr>
              <w:spacing w:after="0"/>
              <w:rPr>
                <w:sz w:val="7"/>
                <w:szCs w:val="7"/>
                <w:color w:val="auto"/>
              </w:rPr>
            </w:pPr>
          </w:p>
        </w:tc>
        <w:tc>
          <w:tcPr>
            <w:tcW w:w="300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Mode of</w:t>
            </w:r>
          </w:p>
        </w:tc>
        <w:tc>
          <w:tcPr>
            <w:tcW w:w="8400" w:type="dxa"/>
            <w:vAlign w:val="bottom"/>
            <w:gridSpan w:val="3"/>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Revolving;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Non-revolving;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w:t>
            </w:r>
          </w:p>
        </w:tc>
        <w:tc>
          <w:tcPr>
            <w:tcW w:w="0" w:type="dxa"/>
            <w:vAlign w:val="bottom"/>
          </w:tcPr>
          <w:p>
            <w:pPr>
              <w:spacing w:after="0"/>
              <w:rPr>
                <w:sz w:val="1"/>
                <w:szCs w:val="1"/>
                <w:color w:val="auto"/>
              </w:rPr>
            </w:pPr>
          </w:p>
        </w:tc>
      </w:tr>
      <w:tr>
        <w:trPr>
          <w:trHeight w:val="154"/>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revolving</w:t>
            </w:r>
          </w:p>
        </w:tc>
        <w:tc>
          <w:tcPr>
            <w:tcW w:w="8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20" w:type="dxa"/>
            <w:vAlign w:val="bottom"/>
            <w:tcBorders>
              <w:right w:val="single" w:sz="8" w:color="auto"/>
            </w:tcBorders>
            <w:vMerge w:val="continue"/>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right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Nature of credit</w:t>
            </w:r>
          </w:p>
        </w:tc>
        <w:tc>
          <w:tcPr>
            <w:tcW w:w="8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Commitment unconditionally revocable at any time</w:t>
            </w: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line</w:t>
            </w:r>
          </w:p>
        </w:tc>
        <w:tc>
          <w:tcPr>
            <w:tcW w:w="8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tcBorders>
              <w:right w:val="single" w:sz="8" w:color="auto"/>
            </w:tcBorders>
            <w:vMerge w:val="continue"/>
          </w:tcPr>
          <w:p>
            <w:pPr>
              <w:spacing w:after="0"/>
              <w:rPr>
                <w:sz w:val="9"/>
                <w:szCs w:val="9"/>
                <w:color w:val="auto"/>
              </w:rPr>
            </w:pPr>
          </w:p>
        </w:tc>
        <w:tc>
          <w:tcPr>
            <w:tcW w:w="30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right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9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guarantor that provides guarantee for the debt under this Agreement and guarantee contract include but is not limited to:</w:t>
            </w:r>
          </w:p>
        </w:tc>
        <w:tc>
          <w:tcPr>
            <w:tcW w:w="0" w:type="dxa"/>
            <w:vAlign w:val="bottom"/>
          </w:tcPr>
          <w:p>
            <w:pPr>
              <w:spacing w:after="0"/>
              <w:rPr>
                <w:sz w:val="1"/>
                <w:szCs w:val="1"/>
                <w:color w:val="auto"/>
              </w:rPr>
            </w:pPr>
          </w:p>
        </w:tc>
      </w:tr>
    </w:tbl>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15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Guarantor</w:t>
            </w:r>
          </w:p>
        </w:tc>
        <w:tc>
          <w:tcPr>
            <w:tcW w:w="340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Mode of guarantee</w:t>
            </w:r>
          </w:p>
        </w:tc>
        <w:tc>
          <w:tcPr>
            <w:tcW w:w="1800" w:type="dxa"/>
            <w:vAlign w:val="bottom"/>
            <w:tcBorders>
              <w:top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Mortgage;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Pledge;</w:t>
            </w:r>
          </w:p>
        </w:tc>
        <w:tc>
          <w:tcPr>
            <w:tcW w:w="1620" w:type="dxa"/>
            <w:vAlign w:val="bottom"/>
            <w:tcBorders>
              <w:top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Guarantee</w:t>
            </w:r>
          </w:p>
        </w:tc>
      </w:tr>
      <w:tr>
        <w:trPr>
          <w:trHeight w:val="53"/>
        </w:trPr>
        <w:tc>
          <w:tcPr>
            <w:tcW w:w="15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32"/>
        </w:trPr>
        <w:tc>
          <w:tcPr>
            <w:tcW w:w="1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Guarantor</w:t>
            </w:r>
          </w:p>
        </w:tc>
        <w:tc>
          <w:tcPr>
            <w:tcW w:w="34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Mode of guarantee</w:t>
            </w:r>
          </w:p>
        </w:tc>
        <w:tc>
          <w:tcPr>
            <w:tcW w:w="1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Mortgage;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Pledge;</w:t>
            </w:r>
          </w:p>
        </w:tc>
        <w:tc>
          <w:tcPr>
            <w:tcW w:w="16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Guarantee</w:t>
            </w:r>
          </w:p>
        </w:tc>
      </w:tr>
      <w:tr>
        <w:trPr>
          <w:trHeight w:val="53"/>
        </w:trPr>
        <w:tc>
          <w:tcPr>
            <w:tcW w:w="15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34"/>
        </w:trPr>
        <w:tc>
          <w:tcPr>
            <w:tcW w:w="1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Credit Line Agreement</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Guarantor</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Mode of</w:t>
            </w:r>
          </w:p>
        </w:tc>
        <w:tc>
          <w:tcPr>
            <w:tcW w:w="3400" w:type="dxa"/>
            <w:vAlign w:val="bottom"/>
            <w:gridSpan w:val="2"/>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Mortgage;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Guarantee</w:t>
            </w:r>
          </w:p>
        </w:tc>
        <w:tc>
          <w:tcPr>
            <w:tcW w:w="0" w:type="dxa"/>
            <w:vAlign w:val="bottom"/>
          </w:tcPr>
          <w:p>
            <w:pPr>
              <w:spacing w:after="0"/>
              <w:rPr>
                <w:sz w:val="1"/>
                <w:szCs w:val="1"/>
                <w:color w:val="auto"/>
              </w:rPr>
            </w:pPr>
          </w:p>
        </w:tc>
      </w:tr>
      <w:tr>
        <w:trPr>
          <w:trHeight w:val="154"/>
        </w:trPr>
        <w:tc>
          <w:tcPr>
            <w:tcW w:w="1520" w:type="dxa"/>
            <w:vAlign w:val="bottom"/>
            <w:tcBorders>
              <w:right w:val="single" w:sz="8" w:color="auto"/>
            </w:tcBorders>
            <w:vMerge w:val="continue"/>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Margin</w:t>
            </w:r>
          </w:p>
        </w:tc>
        <w:tc>
          <w:tcPr>
            <w:tcW w:w="1100" w:type="dxa"/>
            <w:vAlign w:val="bottom"/>
            <w:gridSpan w:val="3"/>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Discount</w:t>
            </w:r>
          </w:p>
        </w:tc>
        <w:tc>
          <w:tcPr>
            <w:tcW w:w="1940" w:type="dxa"/>
            <w:vAlign w:val="bottom"/>
            <w:gridSpan w:val="6"/>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 ☐</w:t>
            </w:r>
            <w:r>
              <w:rPr>
                <w:rFonts w:ascii="Times New Roman" w:cs="Times New Roman" w:eastAsia="Times New Roman" w:hAnsi="Times New Roman"/>
                <w:sz w:val="18"/>
                <w:szCs w:val="18"/>
                <w:color w:val="auto"/>
              </w:rPr>
              <w:t>L/C opening</w:t>
            </w:r>
          </w:p>
        </w:tc>
        <w:tc>
          <w:tcPr>
            <w:tcW w:w="1960" w:type="dxa"/>
            <w:vAlign w:val="bottom"/>
            <w:gridSpan w:val="3"/>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Banknote opening</w:t>
            </w:r>
          </w:p>
        </w:tc>
        <w:tc>
          <w:tcPr>
            <w:tcW w:w="3400" w:type="dxa"/>
            <w:vAlign w:val="bottom"/>
            <w:gridSpan w:val="2"/>
            <w:vMerge w:val="restart"/>
          </w:tcPr>
          <w:p>
            <w:pPr>
              <w:ind w:left="30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proportion for</w:t>
            </w:r>
          </w:p>
        </w:tc>
        <w:tc>
          <w:tcPr>
            <w:tcW w:w="1100" w:type="dxa"/>
            <w:vAlign w:val="bottom"/>
            <w:gridSpan w:val="3"/>
            <w:vMerge w:val="continue"/>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3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tcBorders>
              <w:right w:val="single" w:sz="8" w:color="auto"/>
            </w:tcBorders>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520" w:type="dxa"/>
            <w:vAlign w:val="bottom"/>
            <w:tcBorders>
              <w:right w:val="single" w:sz="8" w:color="auto"/>
            </w:tcBorders>
            <w:vMerge w:val="continue"/>
          </w:tcPr>
          <w:p>
            <w:pPr>
              <w:spacing w:after="0"/>
              <w:rPr>
                <w:sz w:val="9"/>
                <w:szCs w:val="9"/>
                <w:color w:val="auto"/>
              </w:rPr>
            </w:pPr>
          </w:p>
        </w:tc>
        <w:tc>
          <w:tcPr>
            <w:tcW w:w="1960" w:type="dxa"/>
            <w:vAlign w:val="bottom"/>
            <w:gridSpan w:val="6"/>
            <w:vMerge w:val="restart"/>
          </w:tcPr>
          <w:p>
            <w:pPr>
              <w:ind w:left="100"/>
              <w:spacing w:after="0" w:line="19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Opening of L/G/SLC</w:t>
            </w:r>
          </w:p>
        </w:tc>
        <w:tc>
          <w:tcPr>
            <w:tcW w:w="780" w:type="dxa"/>
            <w:vAlign w:val="bottom"/>
            <w:gridSpan w:val="2"/>
            <w:vMerge w:val="restart"/>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different</w:t>
            </w:r>
          </w:p>
        </w:tc>
        <w:tc>
          <w:tcPr>
            <w:tcW w:w="1960" w:type="dxa"/>
            <w:vAlign w:val="bottom"/>
            <w:gridSpan w:val="6"/>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520" w:type="dxa"/>
            <w:vAlign w:val="bottom"/>
            <w:tcBorders>
              <w:right w:val="single" w:sz="8" w:color="auto"/>
            </w:tcBorders>
            <w:vMerge w:val="continue"/>
          </w:tcPr>
          <w:p>
            <w:pPr>
              <w:spacing w:after="0"/>
              <w:rPr>
                <w:sz w:val="9"/>
                <w:szCs w:val="9"/>
                <w:color w:val="auto"/>
              </w:rPr>
            </w:pPr>
          </w:p>
        </w:tc>
        <w:tc>
          <w:tcPr>
            <w:tcW w:w="1100" w:type="dxa"/>
            <w:vAlign w:val="bottom"/>
            <w:gridSpan w:val="3"/>
            <w:vMerge w:val="restart"/>
          </w:tcPr>
          <w:p>
            <w:pPr>
              <w:ind w:left="100"/>
              <w:spacing w:after="0" w:line="19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businesses</w:t>
            </w:r>
          </w:p>
        </w:tc>
        <w:tc>
          <w:tcPr>
            <w:tcW w:w="11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520" w:type="dxa"/>
            <w:vAlign w:val="bottom"/>
            <w:tcBorders>
              <w:right w:val="single" w:sz="8" w:color="auto"/>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968375" cy="3943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968375" cy="39433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-1071245</wp:posOffset>
            </wp:positionV>
            <wp:extent cx="8890" cy="28886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8890" cy="28886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-1071245</wp:posOffset>
            </wp:positionV>
            <wp:extent cx="8890" cy="28886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8890" cy="2888615"/>
                    </a:xfrm>
                    <a:prstGeom prst="rect">
                      <a:avLst/>
                    </a:prstGeom>
                    <a:noFill/>
                  </pic:spPr>
                </pic:pic>
              </a:graphicData>
            </a:graphic>
          </wp:anchor>
        </w:drawing>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Applicable financing varieties and condition of credit line </w:t>
      </w:r>
      <w:r>
        <w:rPr>
          <w:rFonts w:ascii="Times New Roman" w:cs="Times New Roman" w:eastAsia="Times New Roman" w:hAnsi="Times New Roman"/>
          <w:sz w:val="18"/>
          <w:szCs w:val="18"/>
          <w:color w:val="auto"/>
        </w:rPr>
        <w:t>(tick the variety chosen with “√” and delete inapplicable ones with “×”)</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840" w:type="dxa"/>
            <w:vAlign w:val="bottom"/>
            <w:tcBorders>
              <w:top w:val="single" w:sz="8" w:color="auto"/>
              <w:right w:val="single" w:sz="8" w:color="auto"/>
            </w:tcBorders>
          </w:tcPr>
          <w:p>
            <w:pPr>
              <w:spacing w:after="0"/>
              <w:rPr>
                <w:sz w:val="24"/>
                <w:szCs w:val="24"/>
                <w:color w:val="auto"/>
              </w:rPr>
            </w:pPr>
          </w:p>
        </w:tc>
        <w:tc>
          <w:tcPr>
            <w:tcW w:w="300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Credit</w:t>
            </w:r>
          </w:p>
        </w:tc>
        <w:tc>
          <w:tcPr>
            <w:tcW w:w="122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64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Longest term per</w:t>
            </w: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Applicable financing variety</w:t>
            </w:r>
          </w:p>
        </w:tc>
        <w:tc>
          <w:tcPr>
            <w:tcW w:w="1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line(amount and</w:t>
            </w:r>
          </w:p>
        </w:tc>
        <w:tc>
          <w:tcPr>
            <w:tcW w:w="122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Remarks</w:t>
            </w:r>
          </w:p>
        </w:tc>
        <w:tc>
          <w:tcPr>
            <w:tcW w:w="0" w:type="dxa"/>
            <w:vAlign w:val="bottom"/>
          </w:tcPr>
          <w:p>
            <w:pPr>
              <w:spacing w:after="0"/>
              <w:rPr>
                <w:sz w:val="1"/>
                <w:szCs w:val="1"/>
                <w:color w:val="auto"/>
              </w:rPr>
            </w:pPr>
          </w:p>
        </w:tc>
      </w:tr>
      <w:tr>
        <w:trPr>
          <w:trHeight w:val="108"/>
        </w:trPr>
        <w:tc>
          <w:tcPr>
            <w:tcW w:w="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rate/rate</w:t>
            </w:r>
          </w:p>
        </w:tc>
        <w:tc>
          <w:tcPr>
            <w:tcW w:w="16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business</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currency)</w:t>
            </w:r>
          </w:p>
        </w:tc>
        <w:tc>
          <w:tcPr>
            <w:tcW w:w="12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40" w:type="dxa"/>
            <w:vAlign w:val="bottom"/>
            <w:tcBorders>
              <w:bottom w:val="single" w:sz="8" w:color="auto"/>
              <w:right w:val="single" w:sz="8" w:color="auto"/>
            </w:tcBorders>
          </w:tcPr>
          <w:p>
            <w:pPr>
              <w:spacing w:after="0"/>
              <w:rPr>
                <w:sz w:val="7"/>
                <w:szCs w:val="7"/>
                <w:color w:val="auto"/>
              </w:rPr>
            </w:pPr>
          </w:p>
        </w:tc>
        <w:tc>
          <w:tcPr>
            <w:tcW w:w="30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2"/>
        </w:trPr>
        <w:tc>
          <w:tcPr>
            <w:tcW w:w="84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Loan</w:t>
            </w:r>
          </w:p>
        </w:tc>
        <w:tc>
          <w:tcPr>
            <w:tcW w:w="146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2"/>
        </w:trPr>
        <w:tc>
          <w:tcPr>
            <w:tcW w:w="84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Working capital loan</w:t>
            </w:r>
          </w:p>
        </w:tc>
        <w:tc>
          <w:tcPr>
            <w:tcW w:w="146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2"/>
        </w:trPr>
        <w:tc>
          <w:tcPr>
            <w:tcW w:w="84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Fixed assets loan</w:t>
            </w:r>
          </w:p>
        </w:tc>
        <w:tc>
          <w:tcPr>
            <w:tcW w:w="146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2"/>
        </w:trPr>
        <w:tc>
          <w:tcPr>
            <w:tcW w:w="84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financing</w:t>
            </w:r>
          </w:p>
        </w:tc>
        <w:tc>
          <w:tcPr>
            <w:tcW w:w="146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4.32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CONFIDENTIAL</w:t>
      </w: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EQUITY TRANSFER AGREEMENT</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Onething Technology Co., Ltd.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Xunlei Networking Technologies Co., Ltd.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Wuhan Kingsoft Cloud Information Technology Co., Ltd.</w:t>
      </w: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Xinghan Zhilian Technology Co., Ltd.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other relevant parties</w:t>
      </w:r>
    </w:p>
    <w:p>
      <w:pPr>
        <w:spacing w:after="0" w:line="200" w:lineRule="exact"/>
        <w:rPr>
          <w:sz w:val="20"/>
          <w:szCs w:val="20"/>
          <w:color w:val="auto"/>
        </w:rPr>
      </w:pPr>
    </w:p>
    <w:p>
      <w:pPr>
        <w:spacing w:after="0" w:line="24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Dated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774065</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46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RECITALS</w:t>
            </w:r>
          </w:p>
        </w:tc>
        <w:tc>
          <w:tcPr>
            <w:tcW w:w="38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88"/>
              </w:rPr>
              <w:t>2</w:t>
            </w:r>
          </w:p>
        </w:tc>
      </w:tr>
      <w:tr>
        <w:trPr>
          <w:trHeight w:val="31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88"/>
              </w:rPr>
              <w:t>2</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2</w:t>
            </w: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Rules of Interpretation</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3</w:t>
            </w:r>
          </w:p>
        </w:tc>
      </w:tr>
      <w:tr>
        <w:trPr>
          <w:trHeight w:val="31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Equity Transfer</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2.01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Equity Transfer</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2.02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Transfer Consideration</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4</w:t>
            </w: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2.03</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 of Transfer Consideration</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4</w:t>
            </w:r>
          </w:p>
        </w:tc>
      </w:tr>
      <w:tr>
        <w:trPr>
          <w:trHeight w:val="311"/>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88"/>
              </w:rPr>
              <w:t>5</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3.01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Conditions to the Seller’s Obligations to Effect the Closing</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3.02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Conditions to the Investors’ Payment or Closing Obligations</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3.03</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Closing of the Transaction</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180" w:type="dxa"/>
            <w:vAlign w:val="bottom"/>
          </w:tcPr>
          <w:p>
            <w:pPr>
              <w:spacing w:after="0"/>
              <w:rPr>
                <w:sz w:val="18"/>
                <w:szCs w:val="18"/>
                <w:color w:val="auto"/>
              </w:rPr>
            </w:pP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Deliverables by the Seller upon Completion of the First Xinghan Zhilian Payment and Deliverables by the</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3.04</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Company and the Seller at the Closing</w:t>
            </w:r>
          </w:p>
        </w:tc>
        <w:tc>
          <w:tcPr>
            <w:tcW w:w="460" w:type="dxa"/>
            <w:vAlign w:val="bottom"/>
          </w:tcPr>
          <w:p>
            <w:pPr>
              <w:spacing w:after="0"/>
              <w:rPr>
                <w:sz w:val="18"/>
                <w:szCs w:val="18"/>
                <w:color w:val="auto"/>
              </w:rPr>
            </w:pP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3.05</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Deliverables by the Investors at the Closing</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9</w:t>
            </w:r>
          </w:p>
        </w:tc>
      </w:tr>
      <w:tr>
        <w:trPr>
          <w:trHeight w:val="311"/>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 and the Management Shareholders</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4.01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 of the Seller</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180" w:type="dxa"/>
            <w:vAlign w:val="bottom"/>
          </w:tcPr>
          <w:p>
            <w:pPr>
              <w:spacing w:after="0"/>
              <w:rPr>
                <w:sz w:val="18"/>
                <w:szCs w:val="18"/>
                <w:color w:val="auto"/>
              </w:rPr>
            </w:pP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 of the Management Shareholders (excluding Xinghan Zhilian) and Group</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4.02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Companies</w:t>
            </w:r>
          </w:p>
        </w:tc>
        <w:tc>
          <w:tcPr>
            <w:tcW w:w="460" w:type="dxa"/>
            <w:vAlign w:val="bottom"/>
          </w:tcPr>
          <w:p>
            <w:pPr>
              <w:spacing w:after="0"/>
              <w:rPr>
                <w:sz w:val="18"/>
                <w:szCs w:val="18"/>
                <w:color w:val="auto"/>
              </w:rPr>
            </w:pP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4.03</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Reliance on Representations and Warranties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w:t>
            </w:r>
          </w:p>
        </w:tc>
      </w:tr>
      <w:tr>
        <w:trPr>
          <w:trHeight w:val="311"/>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Investors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31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Conduct of Business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Access to Information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6.03</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Notice of Certain Events</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6.04</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Use of Name</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6.05</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Tax Cooperation and Information Exchange</w:t>
            </w:r>
          </w:p>
        </w:tc>
        <w:tc>
          <w:tcPr>
            <w:tcW w:w="4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6.06</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 Solicitation or Negotiation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6.07</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6.08</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Public Announcements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6.09</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Registration or Filing with the Market Regulation Authority; Personnel Changes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6.10</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Employee Equity Incentive Plan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6.11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Handover</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6.12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Further Actions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6.13</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Post-Closing Covenants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w:t>
            </w:r>
          </w:p>
        </w:tc>
      </w:tr>
      <w:tr>
        <w:trPr>
          <w:trHeight w:val="31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18</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7.01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Tax Indemnity</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7.02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Transaction Taxes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19</w:t>
            </w:r>
          </w:p>
        </w:tc>
      </w:tr>
      <w:tr>
        <w:trPr>
          <w:trHeight w:val="31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8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19</w:t>
            </w:r>
          </w:p>
        </w:tc>
      </w:tr>
      <w:tr>
        <w:trPr>
          <w:trHeight w:val="292"/>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8.01</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8.02</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Indemnification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8.03</w:t>
            </w:r>
          </w:p>
        </w:tc>
        <w:tc>
          <w:tcPr>
            <w:tcW w:w="8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Breach in Payment of Transfer Consideration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22</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864" w:right="111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48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92"/>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9.01</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9.02</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Certain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92"/>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10.01</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10.02</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10.03</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10.04</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10.05</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10.06   Effectiveness and Amendment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10.07</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10.08</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10.09</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Force Majeure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10.10   Governing Law; Dispute Resolution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10.11   Remedies for Breach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Section 10.12</w:t>
            </w:r>
          </w:p>
        </w:tc>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Language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Annex 1</w:t>
            </w:r>
          </w:p>
        </w:tc>
        <w:tc>
          <w:tcPr>
            <w:tcW w:w="48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List of Group Companies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Information of the Company and Existing Shareholders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Table of the Company as of the Closing Date of the Transaction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C</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D</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Disclosure Schedule Schedule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310"/>
        </w:trPr>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Attached separately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E</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Closing Certificate for the Transaction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F</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 of Closing Payment Notice for the Transaction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G</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 of Register of Shareholders of Shenzhen Onething Technology Co., Ltd.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H</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Contribution Certificate of Shenzhen Onething Technology Co., Ltd.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I-1</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88"/>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Management Shareholders (excluding Xinghan Zhilian) and Group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I-2</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80" w:type="dxa"/>
            <w:vAlign w:val="bottom"/>
          </w:tcPr>
          <w:p>
            <w:pPr>
              <w:spacing w:after="0"/>
              <w:rPr>
                <w:sz w:val="20"/>
                <w:szCs w:val="20"/>
                <w:color w:val="auto"/>
              </w:rPr>
            </w:pP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J</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Investors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K</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Notice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L</w:t>
            </w: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Handover List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3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M</w:t>
            </w:r>
          </w:p>
        </w:tc>
        <w:tc>
          <w:tcPr>
            <w:tcW w:w="83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92"/>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Employment Contract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Non-Compete Agreement and Intellectual Property Ownership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873" w:right="111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18"/>
          <w:szCs w:val="18"/>
          <w:b w:val="1"/>
          <w:bCs w:val="1"/>
          <w:color w:val="auto"/>
        </w:rPr>
        <w:t>EQUITY TRANSFER AGREEMENT</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This Equity Transfer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March 3, 2026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by and among the following parties in the PRC:</w:t>
      </w:r>
    </w:p>
    <w:p>
      <w:pPr>
        <w:spacing w:after="0" w:line="155" w:lineRule="exact"/>
        <w:rPr>
          <w:sz w:val="20"/>
          <w:szCs w:val="20"/>
          <w:color w:val="auto"/>
        </w:rPr>
      </w:pPr>
    </w:p>
    <w:p>
      <w:pPr>
        <w:jc w:val="both"/>
        <w:ind w:firstLine="332"/>
        <w:spacing w:after="0" w:line="268"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Shenzhen Onething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limited liability company duly organized and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PRC, with its registered address at Room 0610-E13, Port Building, Maritime Center, No. 59 Linhai Avenue, Nanshan Subdistrict, Qianhai Shenzhen-Hongkong Modern Service Industry Cooperation Zone, Shenzhen;</w:t>
      </w:r>
    </w:p>
    <w:p>
      <w:pPr>
        <w:spacing w:after="0" w:line="170" w:lineRule="exact"/>
        <w:rPr>
          <w:rFonts w:ascii="Times New Roman" w:cs="Times New Roman" w:eastAsia="Times New Roman" w:hAnsi="Times New Roman"/>
          <w:sz w:val="18"/>
          <w:szCs w:val="18"/>
          <w:color w:val="auto"/>
        </w:rPr>
      </w:pPr>
    </w:p>
    <w:p>
      <w:pPr>
        <w:ind w:firstLine="332"/>
        <w:spacing w:after="0" w:line="286"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 Hao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PRC citizen, ID No. ******************, residing at Room 10, Unit 6, 4th Floor, Building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Courtyard No. 4, Yumin Road, Chaoyang District, Beijing;</w:t>
      </w:r>
    </w:p>
    <w:p>
      <w:pPr>
        <w:spacing w:after="0" w:line="154" w:lineRule="exact"/>
        <w:rPr>
          <w:rFonts w:ascii="Times New Roman" w:cs="Times New Roman" w:eastAsia="Times New Roman" w:hAnsi="Times New Roman"/>
          <w:sz w:val="18"/>
          <w:szCs w:val="18"/>
          <w:color w:val="auto"/>
        </w:rPr>
      </w:pPr>
    </w:p>
    <w:p>
      <w:pPr>
        <w:ind w:firstLine="332"/>
        <w:spacing w:after="0" w:line="286"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Liu Yingqiao, </w:t>
      </w:r>
      <w:r>
        <w:rPr>
          <w:rFonts w:ascii="Times New Roman" w:cs="Times New Roman" w:eastAsia="Times New Roman" w:hAnsi="Times New Roman"/>
          <w:sz w:val="18"/>
          <w:szCs w:val="18"/>
          <w:color w:val="auto"/>
        </w:rPr>
        <w:t>a PRC citizen, ID No. ******************, residing at 7-8/F, Building 11, Shenzhen Software Park,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Gaoxin Zhongsan Road, Nanshan District, Shenzhen;</w:t>
      </w:r>
    </w:p>
    <w:p>
      <w:pPr>
        <w:spacing w:after="0" w:line="154" w:lineRule="exact"/>
        <w:rPr>
          <w:rFonts w:ascii="Times New Roman" w:cs="Times New Roman" w:eastAsia="Times New Roman" w:hAnsi="Times New Roman"/>
          <w:sz w:val="18"/>
          <w:szCs w:val="18"/>
          <w:color w:val="auto"/>
        </w:rPr>
      </w:pPr>
    </w:p>
    <w:p>
      <w:pPr>
        <w:ind w:firstLine="332"/>
        <w:spacing w:after="0" w:line="286"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Wu Lei, </w:t>
      </w:r>
      <w:r>
        <w:rPr>
          <w:rFonts w:ascii="Times New Roman" w:cs="Times New Roman" w:eastAsia="Times New Roman" w:hAnsi="Times New Roman"/>
          <w:sz w:val="18"/>
          <w:szCs w:val="18"/>
          <w:color w:val="auto"/>
        </w:rPr>
        <w:t>a PRC citizen, ID No. ******************, residing at No. 20110401, Talent Service Center, No. 73 Xisihuan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 Road, Haidian District, Beijing; (together with Li Hao and Liu Yingqiao, “</w:t>
      </w:r>
      <w:r>
        <w:rPr>
          <w:rFonts w:ascii="Times New Roman" w:cs="Times New Roman" w:eastAsia="Times New Roman" w:hAnsi="Times New Roman"/>
          <w:sz w:val="18"/>
          <w:szCs w:val="18"/>
          <w:b w:val="1"/>
          <w:bCs w:val="1"/>
          <w:color w:val="auto"/>
        </w:rPr>
        <w:t>Key Management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entities listed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 of Group Companies) to</w:t>
      </w:r>
      <w:r>
        <w:rPr>
          <w:rFonts w:ascii="Times New Roman" w:cs="Times New Roman" w:eastAsia="Times New Roman" w:hAnsi="Times New Roman"/>
          <w:sz w:val="18"/>
          <w:szCs w:val="18"/>
          <w:b w:val="1"/>
          <w:bCs w:val="1"/>
          <w:color w:val="auto"/>
        </w:rPr>
        <w:t xml:space="preserve"> this Agreement</w:t>
      </w:r>
      <w:r>
        <w:rPr>
          <w:rFonts w:ascii="Times New Roman" w:cs="Times New Roman" w:eastAsia="Times New Roman" w:hAnsi="Times New Roman"/>
          <w:sz w:val="18"/>
          <w:szCs w:val="18"/>
          <w:color w:val="auto"/>
        </w:rPr>
        <w:t>, other than the Company;</w:t>
      </w:r>
    </w:p>
    <w:p>
      <w:pPr>
        <w:spacing w:after="0" w:line="225" w:lineRule="exact"/>
        <w:rPr>
          <w:rFonts w:ascii="Times New Roman" w:cs="Times New Roman" w:eastAsia="Times New Roman" w:hAnsi="Times New Roman"/>
          <w:sz w:val="18"/>
          <w:szCs w:val="18"/>
          <w:color w:val="auto"/>
        </w:rPr>
      </w:pPr>
    </w:p>
    <w:p>
      <w:pPr>
        <w:jc w:val="both"/>
        <w:ind w:firstLine="332"/>
        <w:spacing w:after="0" w:line="268"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Shenzhen Xunlei Networking Technologies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Xunlei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 limited liability company duly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validly existing under the laws of the PRC, with its registered address at Rooms 2101–2107, Xunlei Building, No. 3709 Baishi Road, Gaoxin Community, Yuehai Subdistrict, Nanshan District, Shenzhen;</w:t>
      </w:r>
    </w:p>
    <w:p>
      <w:pPr>
        <w:spacing w:after="0" w:line="170" w:lineRule="exact"/>
        <w:rPr>
          <w:rFonts w:ascii="Times New Roman" w:cs="Times New Roman" w:eastAsia="Times New Roman" w:hAnsi="Times New Roman"/>
          <w:sz w:val="18"/>
          <w:szCs w:val="18"/>
          <w:color w:val="auto"/>
        </w:rPr>
      </w:pPr>
    </w:p>
    <w:p>
      <w:pPr>
        <w:jc w:val="both"/>
        <w:ind w:firstLine="332"/>
        <w:spacing w:after="0" w:line="262"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Wuhan Kingsoft Cloud Information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Kingsoft Cloud</w:t>
      </w:r>
      <w:r>
        <w:rPr>
          <w:rFonts w:ascii="Times New Roman" w:cs="Times New Roman" w:eastAsia="Times New Roman" w:hAnsi="Times New Roman"/>
          <w:sz w:val="18"/>
          <w:szCs w:val="18"/>
          <w:color w:val="auto"/>
        </w:rPr>
        <w:t>”), a limited liability company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and validly existing under the laws of the PRC, with its registered address at Floor 2, Building 5, Phase I of Wuhan Headquarters Project of Kingsoft Group (Plot 11), No. 306 Optics Valley 4th Road, East Lake High-tech Development Zone, Wuhan, Hubei Province; and</w:t>
      </w:r>
    </w:p>
    <w:p>
      <w:pPr>
        <w:spacing w:after="0" w:line="176" w:lineRule="exact"/>
        <w:rPr>
          <w:rFonts w:ascii="Times New Roman" w:cs="Times New Roman" w:eastAsia="Times New Roman" w:hAnsi="Times New Roman"/>
          <w:sz w:val="18"/>
          <w:szCs w:val="18"/>
          <w:color w:val="auto"/>
        </w:rPr>
      </w:pPr>
    </w:p>
    <w:p>
      <w:pPr>
        <w:jc w:val="both"/>
        <w:ind w:firstLine="332"/>
        <w:spacing w:after="0" w:line="268" w:lineRule="auto"/>
        <w:tabs>
          <w:tab w:leader="none" w:pos="97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Shenzhen Xinghan Zhilian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Xinghan Zhilian</w:t>
      </w:r>
      <w:r>
        <w:rPr>
          <w:rFonts w:ascii="Times New Roman" w:cs="Times New Roman" w:eastAsia="Times New Roman" w:hAnsi="Times New Roman"/>
          <w:sz w:val="18"/>
          <w:szCs w:val="18"/>
          <w:color w:val="auto"/>
        </w:rPr>
        <w:t>”), a limited liability company duly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under the laws of the PRC, with its registered address at Room 0610-E51, Port Building, Maritime Center, No. 1167 Yihai Avenue, Nanshan Subdistrict, Qianhai Shenzhen-Hongkong Modern Service Industry Cooperation Zone, Shenzhen.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parties shall be referred to herein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Agreement:</w:t>
      </w:r>
    </w:p>
    <w:p>
      <w:pPr>
        <w:spacing w:after="0" w:line="225" w:lineRule="exact"/>
        <w:rPr>
          <w:sz w:val="20"/>
          <w:szCs w:val="20"/>
          <w:color w:val="auto"/>
        </w:rPr>
      </w:pPr>
    </w:p>
    <w:p>
      <w:pPr>
        <w:ind w:left="4920" w:right="3700" w:hanging="4912"/>
        <w:spacing w:after="0" w:line="783" w:lineRule="auto"/>
        <w:tabs>
          <w:tab w:leader="none" w:pos="33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Nanjing Kehui Zhitou Information Technology Partnership (Limited Partnership),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17" w:name="page318"/>
    <w:bookmarkEnd w:id="317"/>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Nanjing Yimang Yuelian Information Technology Partnership (Limited Partnership), Nanjing Yuxin Jike Information Technology Partnership (Limited Partnership), and Nanjing Zhihui Yuandong Information Technology Partnership (Limited Partnership), individually or collectively, shall be referred to as the “</w:t>
      </w:r>
      <w:r>
        <w:rPr>
          <w:rFonts w:ascii="Times New Roman" w:cs="Times New Roman" w:eastAsia="Times New Roman" w:hAnsi="Times New Roman"/>
          <w:sz w:val="18"/>
          <w:szCs w:val="18"/>
          <w:b w:val="1"/>
          <w:bCs w:val="1"/>
          <w:color w:val="auto"/>
        </w:rPr>
        <w:t>Employee Shareholding Platforms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40" w:hanging="332"/>
        <w:spacing w:after="0"/>
        <w:tabs>
          <w:tab w:leader="none" w:pos="3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Xinghan Zhilian and the Key Management, individually or collectively, shall be referred to as the “</w:t>
      </w:r>
      <w:r>
        <w:rPr>
          <w:rFonts w:ascii="Times New Roman" w:cs="Times New Roman" w:eastAsia="Times New Roman" w:hAnsi="Times New Roman"/>
          <w:sz w:val="18"/>
          <w:szCs w:val="18"/>
          <w:b w:val="1"/>
          <w:bCs w:val="1"/>
          <w:color w:val="auto"/>
        </w:rPr>
        <w:t>Management Shareholders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and Xinghan Zhilian, individually or collectively, shall be referred to as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For the avoidance of doubt, Xinghan Zhilian shall be deemed an Investor under this Agreement solely with respect to its acquisition of RMB 114 million in registered capital of the Company through the Xinghan Zhilian Equity Transfer Transaction (as defined below), and Kingsoft Cloud shall be deemed an Investor under this Agreement solely with respect to its acquisition of RMB 76 million in registered capital of the Company through the Kingsoft Cloud Equity Transfer Transaction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as of the Signing Date, the registered capital of the Company is RMB 380 million, and the existing shareholders collectively hold 100% of the equity interests in the Company. Details of the Company and the shareholding percentages of the existing shareholders as of the Signing Date 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is principally engaged in content delivery network (CDN) and acceleration services based on edge computing, AI computing power platform services, and other related businesses (“</w:t>
      </w:r>
      <w:r>
        <w:rPr>
          <w:rFonts w:ascii="Times New Roman" w:cs="Times New Roman" w:eastAsia="Times New Roman" w:hAnsi="Times New Roman"/>
          <w:sz w:val="18"/>
          <w:szCs w:val="18"/>
          <w:b w:val="1"/>
          <w:bCs w:val="1"/>
          <w:color w:val="auto"/>
        </w:rPr>
        <w:t>Principal Business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WHEREAS, the Seller intends to: (1) transfer 20% of the equity interest in the Company (corresponding to RMB 76 million in registered capital of the Company, which has been fully paid in) to Kingsoft Cloud at a consideration of RMB 50 million (such transaction, </w:t>
      </w:r>
      <w:r>
        <w:rPr>
          <w:rFonts w:ascii="Times New Roman" w:cs="Times New Roman" w:eastAsia="Times New Roman" w:hAnsi="Times New Roman"/>
          <w:sz w:val="18"/>
          <w:szCs w:val="18"/>
          <w:b w:val="1"/>
          <w:bCs w:val="1"/>
          <w:color w:val="auto"/>
        </w:rPr>
        <w:t>“Kingsoft Cloud Equity Transfer Transaction</w:t>
      </w:r>
      <w:r>
        <w:rPr>
          <w:rFonts w:ascii="Times New Roman" w:cs="Times New Roman" w:eastAsia="Times New Roman" w:hAnsi="Times New Roman"/>
          <w:sz w:val="18"/>
          <w:szCs w:val="18"/>
          <w:color w:val="auto"/>
        </w:rPr>
        <w:t xml:space="preserve">”); and (2) transfer 30% of the equity interest in the Company (corresponding to RMB 114 million in registered capital of the Company, which has been fully paid in) to Xinghan Zhilian at a consideration of RMB 75 million (such transaction, </w:t>
      </w:r>
      <w:r>
        <w:rPr>
          <w:rFonts w:ascii="Times New Roman" w:cs="Times New Roman" w:eastAsia="Times New Roman" w:hAnsi="Times New Roman"/>
          <w:sz w:val="18"/>
          <w:szCs w:val="18"/>
          <w:b w:val="1"/>
          <w:bCs w:val="1"/>
          <w:color w:val="auto"/>
        </w:rPr>
        <w:t>“Xinghan Zhilian Equity Transfer Transaction</w:t>
      </w:r>
      <w:r>
        <w:rPr>
          <w:rFonts w:ascii="Times New Roman" w:cs="Times New Roman" w:eastAsia="Times New Roman" w:hAnsi="Times New Roman"/>
          <w:sz w:val="18"/>
          <w:szCs w:val="18"/>
          <w:color w:val="auto"/>
        </w:rPr>
        <w:t>,” together with the Kingsoft Cloud Equity Transfer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and the Investors intend to purchase such equity interests from the Seller. The shareholding structure of the Company upon completion of the Transaction is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the Parties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8" w:name="page319"/>
    <w:bookmarkEnd w:id="318"/>
    <w:p>
      <w:pPr>
        <w:ind w:left="1360"/>
        <w:spacing w:after="0"/>
        <w:rPr>
          <w:sz w:val="20"/>
          <w:szCs w:val="20"/>
          <w:color w:val="auto"/>
        </w:rPr>
      </w:pPr>
      <w:r>
        <w:rPr>
          <w:rFonts w:ascii="Times New Roman" w:cs="Times New Roman" w:eastAsia="Times New Roman" w:hAnsi="Times New Roman"/>
          <w:sz w:val="18"/>
          <w:szCs w:val="18"/>
          <w:color w:val="auto"/>
        </w:rPr>
        <w:t xml:space="preserve">Terms used in this Agreement shall have the meanings set forth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Rules of Interpretation</w:t>
      </w:r>
    </w:p>
    <w:p>
      <w:pPr>
        <w:spacing w:after="0" w:line="225" w:lineRule="exact"/>
        <w:rPr>
          <w:sz w:val="20"/>
          <w:szCs w:val="20"/>
          <w:color w:val="auto"/>
        </w:rPr>
      </w:pPr>
    </w:p>
    <w:p>
      <w:pPr>
        <w:jc w:val="both"/>
        <w:ind w:firstLine="1304"/>
        <w:spacing w:after="0" w:line="266" w:lineRule="auto"/>
        <w:tabs>
          <w:tab w:leader="none" w:pos="200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“hereof,” “herein,” “hereunder,” and similar expressions shall refer to this Agreement as a whole and not to any particular provision of this Agreement. References to Sections and Subsections are to Sections and Subsections of this Agreement, unless otherwise specified;</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shall be deemed to mean “including but not limited 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titles in this Agreement are for convenience of reference only and shall not affect the interpretation of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defined terms used in any certificate or other document delivered pursuant to this Agreement shall have the meanings ascribed to them herein unless otherwise defined therein;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any law, agreement, instrument, or other document shall mean such law, agreement, instrument, or document as amended, supplemented, or otherwise modified from time to time;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“written” or “in writing” and similar expressions shall mean any form of visible reproduction, including printing, typing, or electronic transmission; and</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shall include such Person’s successors and permitted assigns.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  Equity Transfer</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Equity Transfer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Subject to the terms and conditions of this Agreement, upon the Closing of the Transaction:</w:t>
      </w:r>
    </w:p>
    <w:p>
      <w:pPr>
        <w:spacing w:after="0" w:line="225" w:lineRule="exact"/>
        <w:rPr>
          <w:sz w:val="20"/>
          <w:szCs w:val="20"/>
          <w:color w:val="auto"/>
        </w:rPr>
      </w:pPr>
    </w:p>
    <w:p>
      <w:pPr>
        <w:jc w:val="both"/>
        <w:ind w:firstLine="1304"/>
        <w:spacing w:after="0" w:line="281" w:lineRule="auto"/>
        <w:tabs>
          <w:tab w:leader="none" w:pos="2002"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shall transfer to Kingsoft Cloud equity interests in the Company corresponding to RMB 76 million in registered capital, free and clear of any encumbrances (“</w:t>
      </w:r>
      <w:r>
        <w:rPr>
          <w:rFonts w:ascii="Times New Roman" w:cs="Times New Roman" w:eastAsia="Times New Roman" w:hAnsi="Times New Roman"/>
          <w:sz w:val="17"/>
          <w:szCs w:val="17"/>
          <w:b w:val="1"/>
          <w:bCs w:val="1"/>
          <w:color w:val="auto"/>
        </w:rPr>
        <w:t>Kingsoft Cloud Sale Equity</w:t>
      </w:r>
      <w:r>
        <w:rPr>
          <w:rFonts w:ascii="Times New Roman" w:cs="Times New Roman" w:eastAsia="Times New Roman" w:hAnsi="Times New Roman"/>
          <w:sz w:val="17"/>
          <w:szCs w:val="17"/>
          <w:color w:val="auto"/>
        </w:rPr>
        <w:t>”), and shall transfer to Xinghan Zhilian equity interests in the Company corresponding to RMB 114 million in registered capital, free and clear of any encumbrances (“</w:t>
      </w:r>
      <w:r>
        <w:rPr>
          <w:rFonts w:ascii="Times New Roman" w:cs="Times New Roman" w:eastAsia="Times New Roman" w:hAnsi="Times New Roman"/>
          <w:sz w:val="17"/>
          <w:szCs w:val="17"/>
          <w:b w:val="1"/>
          <w:bCs w:val="1"/>
          <w:color w:val="auto"/>
        </w:rPr>
        <w:t>Xinghan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Zhilian Sale Equity</w:t>
      </w:r>
      <w:r>
        <w:rPr>
          <w:rFonts w:ascii="Times New Roman" w:cs="Times New Roman" w:eastAsia="Times New Roman" w:hAnsi="Times New Roman"/>
          <w:sz w:val="17"/>
          <w:szCs w:val="17"/>
          <w:color w:val="auto"/>
        </w:rPr>
        <w:t>,” together with the Kingsoft Cloud Sale Equity, “</w:t>
      </w:r>
      <w:r>
        <w:rPr>
          <w:rFonts w:ascii="Times New Roman" w:cs="Times New Roman" w:eastAsia="Times New Roman" w:hAnsi="Times New Roman"/>
          <w:sz w:val="17"/>
          <w:szCs w:val="17"/>
          <w:b w:val="1"/>
          <w:bCs w:val="1"/>
          <w:color w:val="auto"/>
        </w:rPr>
        <w:t>Sale Equity</w:t>
      </w:r>
      <w:r>
        <w:rPr>
          <w:rFonts w:ascii="Times New Roman" w:cs="Times New Roman" w:eastAsia="Times New Roman" w:hAnsi="Times New Roman"/>
          <w:sz w:val="17"/>
          <w:szCs w:val="17"/>
          <w:color w:val="auto"/>
        </w:rPr>
        <w:t>”), and the Investors agree to acquire such Sale Equity.</w:t>
      </w:r>
    </w:p>
    <w:p>
      <w:pPr>
        <w:spacing w:after="0" w:line="164" w:lineRule="exact"/>
        <w:rPr>
          <w:rFonts w:ascii="Times New Roman" w:cs="Times New Roman" w:eastAsia="Times New Roman" w:hAnsi="Times New Roman"/>
          <w:sz w:val="17"/>
          <w:szCs w:val="17"/>
          <w:color w:val="auto"/>
        </w:rPr>
      </w:pPr>
    </w:p>
    <w:p>
      <w:pPr>
        <w:jc w:val="both"/>
        <w:ind w:firstLine="1304"/>
        <w:spacing w:after="0" w:line="266" w:lineRule="auto"/>
        <w:tabs>
          <w:tab w:leader="none" w:pos="200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of the Transaction, all equity interests in the Company shall be held by the shareholders in accordance with their respective shareholding ratios as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provided that where the Shareholders’ Agreement or any other Transaction Document contains specific provisions regarding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color w:val="auto"/>
        </w:rPr>
        <w:t>rights of the Investors, such provisions shall prevail.</w:t>
      </w:r>
    </w:p>
    <w:p>
      <w:pPr>
        <w:spacing w:after="0" w:line="225" w:lineRule="exact"/>
        <w:rPr>
          <w:sz w:val="20"/>
          <w:szCs w:val="20"/>
          <w:color w:val="auto"/>
        </w:rPr>
      </w:pPr>
    </w:p>
    <w:p>
      <w:pPr>
        <w:jc w:val="both"/>
        <w:ind w:firstLine="1304"/>
        <w:spacing w:after="0" w:line="258" w:lineRule="auto"/>
        <w:tabs>
          <w:tab w:leader="none" w:pos="200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with respect to each Investor, its obligation to pay the applicable Transfer Consideration and the corresponding Closing shall be separate. One of the conditions precedent to Kingsoft Cloud’s performance of its Closing obligations shall be the completion of the Xinghan Zhilian Equity Transfer Transaction in accordance with this Agreement; however, Xinghan Zhilian’s performance of its Closing obligations shall not be conditional upon the Closing of the Kingsoft Cloud Equity Transfer Transaction.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Transfer Consideration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this Agreement, as consideration for the Kingsoft Cloud Equity Transfer Transaction, Kingsoft Cloud shall pay the Seller an aggregate amount of RMB 50 million (“</w:t>
      </w:r>
      <w:r>
        <w:rPr>
          <w:rFonts w:ascii="Times New Roman" w:cs="Times New Roman" w:eastAsia="Times New Roman" w:hAnsi="Times New Roman"/>
          <w:sz w:val="18"/>
          <w:szCs w:val="18"/>
          <w:b w:val="1"/>
          <w:bCs w:val="1"/>
          <w:color w:val="auto"/>
        </w:rPr>
        <w:t>Kingsoft Cloud Transfer Consideration</w:t>
      </w:r>
      <w:r>
        <w:rPr>
          <w:rFonts w:ascii="Times New Roman" w:cs="Times New Roman" w:eastAsia="Times New Roman" w:hAnsi="Times New Roman"/>
          <w:sz w:val="18"/>
          <w:szCs w:val="18"/>
          <w:color w:val="auto"/>
        </w:rPr>
        <w:t>”). As consideration for the Xinghan Zhilian Equity Transfer Transaction, Xinghan Zhilian shall pay the Seller an aggregate amount of RMB 75 million (“</w:t>
      </w:r>
      <w:r>
        <w:rPr>
          <w:rFonts w:ascii="Times New Roman" w:cs="Times New Roman" w:eastAsia="Times New Roman" w:hAnsi="Times New Roman"/>
          <w:sz w:val="18"/>
          <w:szCs w:val="18"/>
          <w:b w:val="1"/>
          <w:bCs w:val="1"/>
          <w:color w:val="auto"/>
        </w:rPr>
        <w:t>Xinghan Zhilian Transfer Consideration</w:t>
      </w:r>
      <w:r>
        <w:rPr>
          <w:rFonts w:ascii="Times New Roman" w:cs="Times New Roman" w:eastAsia="Times New Roman" w:hAnsi="Times New Roman"/>
          <w:sz w:val="18"/>
          <w:szCs w:val="18"/>
          <w:color w:val="auto"/>
        </w:rPr>
        <w:t>,” together with the Kingsoft Cloud Transfer Consideration,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For the avoidance of doubt, the Transfer Consideration set forth above is inclusive of all applicable taxes.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Payment of Transfer Consideration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Xinghan Zhilian shall, within ten (10) Business Days after the execution date of this Agreement and on the Closing Date of the Xinghan Zhilian Equity Transfer Transaction, respectively remit twenty percent (20%) of the Xinghan Zhilian Transfer Consideration (i.e., RMB 15 million, “</w:t>
      </w:r>
      <w:r>
        <w:rPr>
          <w:rFonts w:ascii="Times New Roman" w:cs="Times New Roman" w:eastAsia="Times New Roman" w:hAnsi="Times New Roman"/>
          <w:sz w:val="18"/>
          <w:szCs w:val="18"/>
          <w:b w:val="1"/>
          <w:bCs w:val="1"/>
          <w:color w:val="auto"/>
        </w:rPr>
        <w:t>First Xinghan Zhilian Payment</w:t>
      </w:r>
      <w:r>
        <w:rPr>
          <w:rFonts w:ascii="Times New Roman" w:cs="Times New Roman" w:eastAsia="Times New Roman" w:hAnsi="Times New Roman"/>
          <w:sz w:val="18"/>
          <w:szCs w:val="18"/>
          <w:color w:val="auto"/>
        </w:rPr>
        <w:t>”) and eighty percent (80%) of the Xinghan Zhilian Transfer Consideration (i.e., RMB 60 million, “</w:t>
      </w:r>
      <w:r>
        <w:rPr>
          <w:rFonts w:ascii="Times New Roman" w:cs="Times New Roman" w:eastAsia="Times New Roman" w:hAnsi="Times New Roman"/>
          <w:sz w:val="18"/>
          <w:szCs w:val="18"/>
          <w:b w:val="1"/>
          <w:bCs w:val="1"/>
          <w:color w:val="auto"/>
        </w:rPr>
        <w:t>Second Xinghan Zhilian Payment</w:t>
      </w:r>
      <w:r>
        <w:rPr>
          <w:rFonts w:ascii="Times New Roman" w:cs="Times New Roman" w:eastAsia="Times New Roman" w:hAnsi="Times New Roman"/>
          <w:sz w:val="18"/>
          <w:szCs w:val="18"/>
          <w:color w:val="auto"/>
        </w:rPr>
        <w:t>”) by wire transfer of immediately available RMB funds to the following bank account of the Seller, or such other account as may be designated in writing by the Seller at least ten (10) Business Days prior to the Closing Date of the Transaction and confirmed by Xinghan Zhilian. The payment of the First Xinghan Zhilian Payment shall be referred to as the “</w:t>
      </w:r>
      <w:r>
        <w:rPr>
          <w:rFonts w:ascii="Times New Roman" w:cs="Times New Roman" w:eastAsia="Times New Roman" w:hAnsi="Times New Roman"/>
          <w:sz w:val="18"/>
          <w:szCs w:val="18"/>
          <w:b w:val="1"/>
          <w:bCs w:val="1"/>
          <w:color w:val="auto"/>
        </w:rPr>
        <w:t>First Xinghan Zhilian Payment</w:t>
      </w:r>
      <w:r>
        <w:rPr>
          <w:rFonts w:ascii="Times New Roman" w:cs="Times New Roman" w:eastAsia="Times New Roman" w:hAnsi="Times New Roman"/>
          <w:sz w:val="18"/>
          <w:szCs w:val="18"/>
          <w:color w:val="auto"/>
        </w:rPr>
        <w:t>,” and the payment of the Second Xinghan Zhilian Payment shall constitute the “</w:t>
      </w:r>
      <w:r>
        <w:rPr>
          <w:rFonts w:ascii="Times New Roman" w:cs="Times New Roman" w:eastAsia="Times New Roman" w:hAnsi="Times New Roman"/>
          <w:sz w:val="18"/>
          <w:szCs w:val="18"/>
          <w:b w:val="1"/>
          <w:bCs w:val="1"/>
          <w:color w:val="auto"/>
        </w:rPr>
        <w:t>Xinghan Zhilian Closing</w:t>
      </w:r>
      <w:r>
        <w:rPr>
          <w:rFonts w:ascii="Times New Roman" w:cs="Times New Roman" w:eastAsia="Times New Roman" w:hAnsi="Times New Roman"/>
          <w:sz w:val="18"/>
          <w:szCs w:val="18"/>
          <w:color w:val="auto"/>
        </w:rPr>
        <w:t xml:space="preserve">.” The form of the closing payment notice for the Xinghan Zhilian Equity Transfer Transaction is set forth in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Kingsoft Cloud shall, on the Closing Date of the Kingsoft Cloud Equity Transfer Transaction, remit the full amount of the Kingsoft Cloud Transfer Consideration by wire transfer of immediately available RMB funds to the following bank account of the Seller, or such other account as may be designated in writing by the Seller at least ten (10) Business Days prior to the Closing Date of the Transaction and confirmed by Kingsoft Cloud (“</w:t>
      </w:r>
      <w:r>
        <w:rPr>
          <w:rFonts w:ascii="Times New Roman" w:cs="Times New Roman" w:eastAsia="Times New Roman" w:hAnsi="Times New Roman"/>
          <w:sz w:val="18"/>
          <w:szCs w:val="18"/>
          <w:b w:val="1"/>
          <w:bCs w:val="1"/>
          <w:color w:val="auto"/>
        </w:rPr>
        <w:t>Kingsoft Cloud Closing</w:t>
      </w:r>
      <w:r>
        <w:rPr>
          <w:rFonts w:ascii="Times New Roman" w:cs="Times New Roman" w:eastAsia="Times New Roman" w:hAnsi="Times New Roman"/>
          <w:sz w:val="18"/>
          <w:szCs w:val="18"/>
          <w:color w:val="auto"/>
        </w:rPr>
        <w:t>,” together with the Xinghan Zhilian Closing, individually or collectively,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The form of the closing payment notice for the Kingsoft Cloud Equity Transfer Transaction is set forth in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0" w:name="page321"/>
    <w:bookmarkEnd w:id="320"/>
    <w:p>
      <w:pPr>
        <w:ind w:left="1360"/>
        <w:spacing w:after="0"/>
        <w:rPr>
          <w:sz w:val="20"/>
          <w:szCs w:val="20"/>
          <w:color w:val="auto"/>
        </w:rPr>
      </w:pPr>
      <w:r>
        <w:rPr>
          <w:rFonts w:ascii="Times New Roman" w:cs="Times New Roman" w:eastAsia="Times New Roman" w:hAnsi="Times New Roman"/>
          <w:sz w:val="18"/>
          <w:szCs w:val="18"/>
          <w:color w:val="auto"/>
        </w:rPr>
        <w:t>Seller’ Bank Account Information: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Account Name: Shenzhen Xunlei Networking Technologies Co., Ltd.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Account Number: 755901747310602</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Bank: China Merchants Bank, Shenzhen Shekou Sub-branch</w:t>
      </w:r>
    </w:p>
    <w:p>
      <w:pPr>
        <w:spacing w:after="0" w:line="2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Section 3  Closing</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Conditions to the Seller’s Obligations to Effect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obligation of the Seller to consummate the Transaction shall be subject to the satisfaction or written waiver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on or prior to the Closing of the Transaction, of each of the following conditions:</w:t>
      </w:r>
    </w:p>
    <w:p>
      <w:pPr>
        <w:spacing w:after="0" w:line="207" w:lineRule="exact"/>
        <w:rPr>
          <w:sz w:val="20"/>
          <w:szCs w:val="20"/>
          <w:color w:val="auto"/>
        </w:rPr>
      </w:pPr>
    </w:p>
    <w:p>
      <w:pPr>
        <w:jc w:val="both"/>
        <w:ind w:firstLine="1304"/>
        <w:spacing w:after="0" w:line="258" w:lineRule="auto"/>
        <w:tabs>
          <w:tab w:leader="none" w:pos="200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Warranties and Covenants. The representations and warranties of the relevant Investors set forth in this Agreement shall be true and accurate in all respects as of the date of this Agreement and as of the Closing Date of the Transaction (except for those representations and warranties that expressly relate to a specified date, which shall be true and accurate as of such specified date), and all covenants and agreements required to be performed by the relevant Investors under this Agreement on or prior to the Closing Date of the Transaction shall have been duly performed;</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 Each Party to the Transaction Documents (other than the Seller) shall have duly executed and delivered to the Seller each Transaction Document to which it is a party in connection with the Closing of the Transaction;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Transaction. The board of directors of the Seller and the board of directors and audit committee of Xunlei Limited shall have adopted resolutions approving the execution and performance of the Transaction Documents by the Seller in connection with the Transaction;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Key Employees and the relevant Group Companies shall have entered into employment agreements, confidentiality agreements, non-compete agreements and intellectual property ownership agreements in the form and substance set forth in </w:t>
      </w:r>
      <w:r>
        <w:rPr>
          <w:rFonts w:ascii="Times New Roman" w:cs="Times New Roman" w:eastAsia="Times New Roman" w:hAnsi="Times New Roman"/>
          <w:sz w:val="18"/>
          <w:szCs w:val="18"/>
          <w:u w:val="single" w:color="auto"/>
          <w:color w:val="auto"/>
        </w:rPr>
        <w:t>Schedule M</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00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Xinghan Zhilian Payment. Xinghan Zhilian shall have completed the First Xinghan Zhilian Payment pursuant to Section 2.03 of this Agreement.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Conditions to the Investors’ Payment or Closing Obligations</w:t>
      </w:r>
    </w:p>
    <w:p>
      <w:pPr>
        <w:spacing w:after="0" w:line="225" w:lineRule="exact"/>
        <w:rPr>
          <w:sz w:val="20"/>
          <w:szCs w:val="20"/>
          <w:color w:val="auto"/>
        </w:rPr>
      </w:pPr>
    </w:p>
    <w:p>
      <w:pPr>
        <w:jc w:val="both"/>
        <w:ind w:firstLine="1304"/>
        <w:spacing w:after="0" w:line="266" w:lineRule="auto"/>
        <w:tabs>
          <w:tab w:leader="none" w:pos="149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Xinghan Zhilian to pay the first installment of the transfer consideration shall be subject to the satisfaction or written waiver by Xinghan Zhilian, on or prior to the time of the First Xinghan Zhilian Payment, of each of the following conditions:</w:t>
      </w:r>
    </w:p>
    <w:p>
      <w:pPr>
        <w:spacing w:after="0" w:line="176" w:lineRule="exact"/>
        <w:rPr>
          <w:sz w:val="20"/>
          <w:szCs w:val="20"/>
          <w:color w:val="auto"/>
        </w:rPr>
      </w:pPr>
    </w:p>
    <w:p>
      <w:pPr>
        <w:ind w:firstLine="1304"/>
        <w:spacing w:after="0" w:line="282" w:lineRule="auto"/>
        <w:tabs>
          <w:tab w:leader="none" w:pos="2002"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and Agreements. All covenants and agreements required to be performed by the Seller on or prior to the First Xinghan Zhilian Payment under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color w:val="auto"/>
        </w:rPr>
        <w:t>applicable Transaction Documents shall have been duly performed; and</w:t>
      </w:r>
    </w:p>
    <w:p>
      <w:pPr>
        <w:spacing w:after="0" w:line="225" w:lineRule="exact"/>
        <w:rPr>
          <w:sz w:val="20"/>
          <w:szCs w:val="20"/>
          <w:color w:val="auto"/>
        </w:rPr>
      </w:pPr>
    </w:p>
    <w:p>
      <w:pPr>
        <w:ind w:right="20" w:firstLine="1304"/>
        <w:spacing w:after="0" w:line="282" w:lineRule="auto"/>
        <w:tabs>
          <w:tab w:leader="none" w:pos="200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 Each Party hereto (other than Xinghan Zhilian) shall have duly executed and delivered this Agreement to Xinghan Zhilian.</w:t>
      </w:r>
    </w:p>
    <w:p>
      <w:pPr>
        <w:spacing w:after="0" w:line="162" w:lineRule="exact"/>
        <w:rPr>
          <w:sz w:val="20"/>
          <w:szCs w:val="20"/>
          <w:color w:val="auto"/>
        </w:rPr>
      </w:pPr>
    </w:p>
    <w:p>
      <w:pPr>
        <w:jc w:val="both"/>
        <w:ind w:firstLine="1304"/>
        <w:spacing w:after="0" w:line="261" w:lineRule="auto"/>
        <w:tabs>
          <w:tab w:leader="none" w:pos="148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Xinghan Zhilian to pay the second installment of the transfer consideration shall be subject to the satisfaction or written waiver by Xinghan Zhilian, on or prior to the Xinghan Zhilian Closing (other than Sections 3.02(e) and 3.02(l)); and the obligation of Kingsoft Cloud to pay the transfer consideration shall be subject to the satisfaction or written waiver by Kingsoft Cloud, on or prior to the Closing of the Transaction, of each of the following conditions:</w:t>
      </w:r>
    </w:p>
    <w:p>
      <w:pPr>
        <w:spacing w:after="0" w:line="180" w:lineRule="exact"/>
        <w:rPr>
          <w:sz w:val="20"/>
          <w:szCs w:val="20"/>
          <w:color w:val="auto"/>
        </w:rPr>
      </w:pPr>
    </w:p>
    <w:p>
      <w:pPr>
        <w:jc w:val="both"/>
        <w:ind w:firstLine="1304"/>
        <w:spacing w:after="0" w:line="253" w:lineRule="auto"/>
        <w:tabs>
          <w:tab w:leader="none" w:pos="200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Warranties and Covenants. (i) The representations and warranties of the Seller contained in the applicable Transaction Documents shall be true, accurate and complete in all respects, and not misleading, as of the date of execution of such Transaction Documents and as of the Closing Date of the Transaction (except for those representations and warranties that expressly relate to a specified date, which shall be true, accurate and complete as of such specified date), and all covenants and agreements required to be performed by the Seller under the applicable Transaction Documents on or prior to the Closing Date of the Transaction shall have been duly performed; (ii) The representations and warranties of the Management Shareholders (other than Xinghan Zhilian) and the Group Companies contained in the applicable Transaction Documents shall be true, accurate and complete in all respects, and not misleading, as of the date of execution of such Transaction Documents and as of the Closing Date of the Transaction (except for those representations and warranties that expressly relate to a specified date, which shall be true, accurate and complete as of such specified date), and all covenants and agreements required to be performed by the Management Shareholders (other than Xinghan Zhilian) and the Group Companies under the applicable Transaction Documents on or prior to the Closing Date of the Transaction shall have been duly performed;</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 Each Party to the Transaction Documents (other than the relevant Investor) shall have duly executed and delivered to such Investor each Transaction Document to which it is a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Order. No governmental authority shall have enacted, issued, promulgated, enforced or entered any law or governmental order that would render illegal, or restrain or prohibit, the transactions contemplated under the Transaction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or Litigation. There shall be no pending or threatened claim against any Group Company, any Management Shareholder (other than Xinghan Zhilian), any existing shareholder, or the Principal Business that seeks to restrain the transactions contemplated under the Transaction Documents, materially alter the terms thereof, or, in the reasonable and good faith judgment of such Investor, could reasonably be expected to render completion of such transactions impracticable, illegal, inadvisable,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2" w:name="page323"/>
    <w:bookmarkEnd w:id="322"/>
    <w:p>
      <w:pPr>
        <w:ind w:right="20"/>
        <w:spacing w:after="0" w:line="282" w:lineRule="auto"/>
        <w:rPr>
          <w:sz w:val="20"/>
          <w:szCs w:val="20"/>
          <w:color w:val="auto"/>
        </w:rPr>
      </w:pPr>
      <w:r>
        <w:rPr>
          <w:rFonts w:ascii="Times New Roman" w:cs="Times New Roman" w:eastAsia="Times New Roman" w:hAnsi="Times New Roman"/>
          <w:sz w:val="18"/>
          <w:szCs w:val="18"/>
          <w:color w:val="auto"/>
        </w:rPr>
        <w:t>or to result in a Material Adverse Effect on any Group Company, any Management Shareholder (other than Xinghan Zhilian), or the Principal Business;</w:t>
      </w:r>
    </w:p>
    <w:p>
      <w:pPr>
        <w:spacing w:after="0" w:line="162" w:lineRule="exact"/>
        <w:rPr>
          <w:sz w:val="20"/>
          <w:szCs w:val="20"/>
          <w:color w:val="auto"/>
        </w:rPr>
      </w:pPr>
    </w:p>
    <w:p>
      <w:pPr>
        <w:jc w:val="both"/>
        <w:ind w:firstLine="1304"/>
        <w:spacing w:after="0" w:line="261" w:lineRule="auto"/>
        <w:tabs>
          <w:tab w:leader="none" w:pos="200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With respect to Kingsoft Cloud only, Kingsoft Cloud shall have completed business, financial, legal and tax due diligence investigations with respect to the Principal Business and the Group Companies, and shall be reasonably satisfied with the results thereof (for the avoidance of doubt, Kingsoft Cloud’s execution of this Agreement shall be deemed confirmation that Kingsoft Cloud is reasonably satisfied with the results of such due diligence);</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0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and Consents of the Parties other than the Investors. Each Party hereto (other than the Investors) shall have obtained all governmental, stock exchange, approval and filing requirements, and all relevant third-party consents necessary for the consummation of the transactions contemplated under the Transaction Documents (including waivers by the existing shareholders of their preemptive rights or other similar preferential rights (if any) with respect to the equity transfers), and such consents and approvals shall not materially alter the commercial terms of the Transaction Documents and shall remain in full force and effect as of the Closing of the Transaction;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and Consents of the Investors. Such Investor shall have completed the relevant stock exchange disclosure (if applicable), and shall have obtained all governmental approvals and filings and all relevant third-party consents necessary for the consummation of the transactions contemplated under the Transaction Documents, and such consents and approvals shall not materially alter the commercial terms of the Transaction Documents and shall remain in full force and effect as of the Closing of the Transaction;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No event shall have occurred that has had, individually or in the aggregate, a Material Adverse Effect on any Group Company or any Management Shareholder (other than Xinghan Zhilian), and no event shall reasonably be expected to occur that could, individually or in the aggregate, result in a Material Adverse Effect;</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Transaction. The relevant parties shall have obtained the following approvals set forth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(w) through (x):</w:t>
      </w:r>
    </w:p>
    <w:p>
      <w:pPr>
        <w:spacing w:after="0" w:line="207" w:lineRule="exact"/>
        <w:rPr>
          <w:sz w:val="20"/>
          <w:szCs w:val="20"/>
          <w:color w:val="auto"/>
        </w:rPr>
      </w:pPr>
    </w:p>
    <w:p>
      <w:pPr>
        <w:jc w:val="both"/>
        <w:ind w:left="2000" w:hanging="696"/>
        <w:spacing w:after="0" w:line="266" w:lineRule="auto"/>
        <w:tabs>
          <w:tab w:leader="none" w:pos="20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meeting and the board of directors (or executive director) of each Group Company shall have adopted resolutions approving the execution and performance of the Transaction Documents in connection with the Transaction; and</w:t>
      </w:r>
    </w:p>
    <w:p>
      <w:pPr>
        <w:spacing w:after="0" w:line="175" w:lineRule="exact"/>
        <w:rPr>
          <w:rFonts w:ascii="Times New Roman" w:cs="Times New Roman" w:eastAsia="Times New Roman" w:hAnsi="Times New Roman"/>
          <w:sz w:val="18"/>
          <w:szCs w:val="18"/>
          <w:color w:val="auto"/>
        </w:rPr>
      </w:pPr>
    </w:p>
    <w:p>
      <w:pPr>
        <w:jc w:val="both"/>
        <w:ind w:left="2000" w:right="20" w:hanging="696"/>
        <w:spacing w:after="0" w:line="266" w:lineRule="auto"/>
        <w:tabs>
          <w:tab w:leader="none" w:pos="20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Seller and the board of directors and audit committee of Xunlei Limited shall have adopted resolutions approving the execution and performance of the Transaction Documents by the Seller in connection with the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3" w:name="page324"/>
    <w:bookmarkEnd w:id="323"/>
    <w:p>
      <w:pPr>
        <w:ind w:firstLine="1304"/>
        <w:spacing w:after="0" w:line="282" w:lineRule="auto"/>
        <w:tabs>
          <w:tab w:leader="none" w:pos="200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The shareholders’ meeting and the executive director of the Company shall have adopted resolutions approving the formation of the board of directors in accordance with Section 7.1.1 of the Shareholders’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Closing Certificate. Such Investor shall have received closing certificates issued by the Seller, the Group Companies and the Management Shareholders, respectively, in the form set forth in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certifying that all matters set forth in this Section 3.02 applicable to such Investor (other than Sections 3.02(e) and 3.02(g)) have been satisfied;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00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Kingsoft Cloud only, the Xinghan Zhilian Equity Transfer Transaction shall have been completed on the same date as the proposed closing date of the Kingsoft Cloud Equity Transfer Transaction;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Key Employees and the relevant Group Companies shall have entered into employment agreements, confidentiality agreements, non-compete agreements and intellectual property ownership agreements in the form and substance set forth in </w:t>
      </w:r>
      <w:r>
        <w:rPr>
          <w:rFonts w:ascii="Times New Roman" w:cs="Times New Roman" w:eastAsia="Times New Roman" w:hAnsi="Times New Roman"/>
          <w:sz w:val="18"/>
          <w:szCs w:val="18"/>
          <w:u w:val="single" w:color="auto"/>
          <w:color w:val="auto"/>
        </w:rPr>
        <w:t>Schedule M</w:t>
      </w:r>
      <w:r>
        <w:rPr>
          <w:rFonts w:ascii="Times New Roman" w:cs="Times New Roman" w:eastAsia="Times New Roman" w:hAnsi="Times New Roman"/>
          <w:sz w:val="18"/>
          <w:szCs w:val="18"/>
          <w:color w:val="auto"/>
        </w:rPr>
        <w:t>, and the employment agreements shall provide for a term of no less than three (3) years;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Xunlei Limited (Nasdaq: XNET) shall have fulfilled the applicable disclosure requirements of the U.S. Securities and Exchange Commission with respect to the Transaction (including submission of the applicable reports and/or forms required for disclosure of the Transaction to the U.S. Securities and Exchange Commission), and shall have simultaneously published the relevant disclosure on its official website under the “Investor Relations” section.</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Closing of the Transaction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this Agreement, the Xinghan Zhilian Closing and the Kingsoft Cloud Closing shall take place no later than ten (10) Business Days after all conditions precedent to the obligations of the Parties set forth in Sections 3.01 and 3.02 (other than those conditions which by their terms are to be satisfied on the Closing Date, which shall be satisfied on the Closing Date) have been satisfied or waived in accordance with this Agreement, and the Investors have received the payment notice (for the avoidance of doubt, the Seller shall issue separate payment notices to Xinghan Zhilian for the first installment and the second installment of the transfer consideration payable by Xinghan Zhilian), or at such other time or on such other date as mutually agreed in writing by the Investors, the Company and the Seller (date of the Xinghan Zhilian Closing and the date of the Kingsoft Cloud Closing, collectively,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Closing may be effected by remote exchange of electronic documents or signature pages, or by such other method as mutually agreed in writing by the Investors, the Company and the Seller (for the avoidance of doubt, provided that all applicable conditions precedent to Closing for an Investor have been satisfied or waived, the completion of the Xinghan Zhilian Closing shall occur prior to the completion of the Kingsoft Cloud Closing).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4" w:name="page325"/>
    <w:bookmarkEnd w:id="32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Deliverables by the Seller upon Completion of the First Xinghan Zhilian Payment and Deliverables by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the Seller at the Closing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Upon completion of the First Xinghan Zhilian Payment and within one (1) Business Day after receipt of such payment, the Seller shall issue to Xinghan Zhilian a receipt confirming that the Seller has received the first installment of the transfer consideration.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 the Closing, the Company and the Seller shall deliver the following documents to each Investor:</w:t>
      </w:r>
    </w:p>
    <w:p>
      <w:pPr>
        <w:spacing w:after="0" w:line="225" w:lineRule="exact"/>
        <w:rPr>
          <w:sz w:val="20"/>
          <w:szCs w:val="20"/>
          <w:color w:val="auto"/>
        </w:rPr>
      </w:pPr>
    </w:p>
    <w:p>
      <w:pPr>
        <w:jc w:val="both"/>
        <w:ind w:firstLine="1304"/>
        <w:spacing w:after="0" w:line="266" w:lineRule="auto"/>
        <w:tabs>
          <w:tab w:leader="none" w:pos="194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register of shareholders affixed with the Company chop (such copy affixed with the Company chop shall be dispatched to the correspondence address provided by such Investor within three (3) Business Days after the Closing Date), in the form set forth in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capital contribution certificate affixed with the Company chop and signed by the legal representative of the Company (original capital contribution certificate shall be dispatched to the correspondence address provided by such Investor within three (3) Business Days after the Closing Date), in the form set forth in </w:t>
      </w:r>
      <w:r>
        <w:rPr>
          <w:rFonts w:ascii="Times New Roman" w:cs="Times New Roman" w:eastAsia="Times New Roman" w:hAnsi="Times New Roman"/>
          <w:sz w:val="18"/>
          <w:szCs w:val="18"/>
          <w:u w:val="single" w:color="auto"/>
          <w:color w:val="auto"/>
        </w:rPr>
        <w:t>Schedule H</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(1) Business Day after receipt of the applicable transfer consideration paid by an Investor, the Seller shall issue to such Investor a receipt confirming that the Seller has received the transfer consideration paid by such Investor.</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Deliverables by the Investors at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 the Closing, each Investor shall:</w:t>
      </w:r>
    </w:p>
    <w:p>
      <w:pPr>
        <w:spacing w:after="0" w:line="225" w:lineRule="exact"/>
        <w:rPr>
          <w:sz w:val="20"/>
          <w:szCs w:val="20"/>
          <w:color w:val="auto"/>
        </w:rPr>
      </w:pPr>
    </w:p>
    <w:p>
      <w:pPr>
        <w:ind w:firstLine="1304"/>
        <w:spacing w:after="0" w:line="282" w:lineRule="auto"/>
        <w:tabs>
          <w:tab w:leader="none" w:pos="194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applicable transfer consideration and deliver to the Seller a copy of the bank payment confirmation evidencing such payment;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Seller and the Company the Transaction Documents duly executed by such Investor.</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Section 4  Representations and Warranties of the Seller and the Management Shareholders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Seller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Seller hereby makes to the Investors, as of the date of this Agreement and as of the Closing Date of the Transaction, the representations and warranties set forth in </w:t>
      </w:r>
      <w:r>
        <w:rPr>
          <w:rFonts w:ascii="Times New Roman" w:cs="Times New Roman" w:eastAsia="Times New Roman" w:hAnsi="Times New Roman"/>
          <w:sz w:val="18"/>
          <w:szCs w:val="18"/>
          <w:u w:val="single" w:color="auto"/>
          <w:color w:val="auto"/>
        </w:rPr>
        <w:t>Schedule I-1</w:t>
      </w:r>
      <w:r>
        <w:rPr>
          <w:rFonts w:ascii="Times New Roman" w:cs="Times New Roman" w:eastAsia="Times New Roman" w:hAnsi="Times New Roman"/>
          <w:sz w:val="18"/>
          <w:szCs w:val="18"/>
          <w:color w:val="auto"/>
        </w:rPr>
        <w:t xml:space="preserve"> to this Agreement.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Management Shareholders (excluding Xinghan Zhilian) and Group Companies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Management Shareholders (excluding Xinghan Zhilian) and the Group Companies hereby jointly and severally make to the Investors, as of the date of this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color w:val="auto"/>
        </w:rPr>
        <w:t xml:space="preserve">Agreement and as of the Closing Date of the Transaction, the representations and warranties set forth in </w:t>
      </w:r>
      <w:r>
        <w:rPr>
          <w:rFonts w:ascii="Times New Roman" w:cs="Times New Roman" w:eastAsia="Times New Roman" w:hAnsi="Times New Roman"/>
          <w:sz w:val="18"/>
          <w:szCs w:val="18"/>
          <w:u w:val="single" w:color="auto"/>
          <w:color w:val="auto"/>
        </w:rPr>
        <w:t>Schedule I-2</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Reliance on Representations and Warranties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Seller, the Management Shareholders (excluding Xinghan Zhilian) and the Group Companies fully understand and acknowledge that the Investors have entered into the transactions contemplated under this Agreement and the other Transaction Documents in reliance upon the representations, warranties and covenants made by the Seller, the Management Shareholders (excluding Xinghan Zhilian) and the Group Companies in this Section 4, other provisions of this Agreement, and the other Transaction Documents, as applicable to each of them. Accordingly, any untrue, inaccurate or misleading representation, warranty or covenant, or any failure to duly perform any such representation, warranty or covenant, may cause substantial loss to the Investors, and the Investors shall be entitled to seek monetary or non-monetary remedies, obtain indemnification and/or terminate this Agreement or the other Transaction Documents in accordance with this Agreement, the other Transaction Documents and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  Representations and Warranties of the Investors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Each Investor hereby severally and not jointly makes to the Seller the representations and warranties set forth in </w:t>
      </w:r>
      <w:r>
        <w:rPr>
          <w:rFonts w:ascii="Times New Roman" w:cs="Times New Roman" w:eastAsia="Times New Roman" w:hAnsi="Times New Roman"/>
          <w:sz w:val="18"/>
          <w:szCs w:val="18"/>
          <w:u w:val="single" w:color="auto"/>
          <w:color w:val="auto"/>
        </w:rPr>
        <w:t>Schedule J</w:t>
      </w:r>
      <w:r>
        <w:rPr>
          <w:rFonts w:ascii="Times New Roman" w:cs="Times New Roman" w:eastAsia="Times New Roman" w:hAnsi="Times New Roman"/>
          <w:sz w:val="18"/>
          <w:szCs w:val="18"/>
          <w:color w:val="auto"/>
        </w:rPr>
        <w:t xml:space="preserve">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6  Covenants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Conduct of Business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Except as expressly provided in this Agreement, each Group Company shall, and the Management Shareholders (excluding Xinghan Zhilian) shall cause each Group Company, from the date of this Agreement until the Closing of the Transaction, to:</w:t>
      </w:r>
    </w:p>
    <w:p>
      <w:pPr>
        <w:jc w:val="both"/>
        <w:ind w:firstLine="8"/>
        <w:spacing w:after="0" w:line="252" w:lineRule="auto"/>
        <w:tabs>
          <w:tab w:leader="none" w:pos="26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its Business in the ordinary course consistent with past practice; (b) use best efforts to preserve the Business intact in all material respects; and (c) not, without the prior written consent of the Investors, agree to undertake any of the actions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I-2</w:t>
      </w:r>
      <w:r>
        <w:rPr>
          <w:rFonts w:ascii="Times New Roman" w:cs="Times New Roman" w:eastAsia="Times New Roman" w:hAnsi="Times New Roman"/>
          <w:sz w:val="18"/>
          <w:szCs w:val="18"/>
          <w:color w:val="auto"/>
        </w:rPr>
        <w:t>. In addition, following the Closing Date, each Group Company shall, and the Management Shareholders shall cause each Group Company to use reasonable commercial efforts to continuously take effective measures to maintain the stability of its key suppliers and customers (including but not limited to promptly renewing procurement agreements with Alibaba Cloud or entering into new procurement agreements with Alibaba Cloud).</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u w:val="single" w:color="auto"/>
          <w:color w:val="auto"/>
        </w:rPr>
        <w:t>Access to Information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Group Company shall, and the Management Shareholders (excluding Xinghan Zhilian) shall cause each Group Company, from the date of this Agreement until the Closing of the Transaction, subject to at least five (5) Business Days’ prior written notice from Kingsoft Cloud and reasonable requirements: (a) permit Kingsoft Cloud and its representatives, during normal business hours, to have access to the offices, properties, books and records, and other documents and facilities of each Group Company; and (b)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6" w:name="page327"/>
    <w:bookmarkEnd w:id="326"/>
    <w:p>
      <w:pPr>
        <w:jc w:val="both"/>
        <w:spacing w:after="0" w:line="258" w:lineRule="auto"/>
        <w:rPr>
          <w:sz w:val="20"/>
          <w:szCs w:val="20"/>
          <w:color w:val="auto"/>
        </w:rPr>
      </w:pPr>
      <w:r>
        <w:rPr>
          <w:rFonts w:ascii="Times New Roman" w:cs="Times New Roman" w:eastAsia="Times New Roman" w:hAnsi="Times New Roman"/>
          <w:sz w:val="18"/>
          <w:szCs w:val="18"/>
          <w:color w:val="auto"/>
        </w:rPr>
        <w:t>provide Kingsoft Cloud and its representatives with financial and operational data and other information relating to each Group Company and the Business, including but not limited to monthly or other periodic key operating data of each Group Company, capitalization tables of the Group Companies, or other business information reasonably requested by Kingsoft Cloud, and any other information necessary for Kingsoft Cloud to satisfy the reporting and disclosure requirements under applicable law and listing rules of the jurisdiction where Kingsoft Cloud or its Affiliates are listed (if applicable).</w:t>
      </w:r>
    </w:p>
    <w:p>
      <w:pPr>
        <w:spacing w:after="0" w:line="183"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Notice of Certain Events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Prior to the Closing of the Transaction, the Seller, the Management Shareholders (excluding Xinghan Zhilian) and the Group Companies shall promptly notify the Investors in writing upon becoming aware of any matters set forth in Items (a) and (b) below; and the Management Shareholders (excluding Xinghan Zhilian) and the Group Companies shall promptly notify the Investors in writing upon becoming aware of any matters set forth in Item (c) below: (a) any event, circumstance or fact that would reasonably be expected to result in a breach of any representation, warranty or covenant made by such Party under the applicable Transaction Documents, or that would cause any representation or warranty under the Transaction Documents to be untrue or inaccurate in any respect; (b) any fact, change, condition or circumstance of which such Party becomes aware that has caused or would reasonably be expected to cause any of the conditions set forth in Section 3 of this Agreement to become incapable of being satisfied; and (c) any other material development that has had, or would reasonably be expected to have, a Material Adverse Effect on the assets, liabilities, business, financial condition, operations, operating results, customer or supplier relationships, employee relations, projections or prospects of the Group Companies taken as a whole.</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Use of Name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Without the prior written consent of Kingsoft Cloud or its Affiliates, regardless of whether Kingsoft Cloud directly or indirectly holds any equity interests in the Company at the relevant time, none of the Parties to this Agreement (other than Kingsoft Cloud) shall, nor shall they cause their respective Affiliates to, use, publish or reproduce, for any marketing, advertising, promotional or other purposes, the name of Kingsoft Cloud or any of its Affiliates, including but not limited to the use of the name “Kingsoft Cloud,” whether alone or in combination with any other words, or any similar company name, trade name, trademark, product or service name, domain name, graphic symbol, logo, mark, identifier or description that would enable a third party to identify Kingsoft Cloud or any of its Affiliates.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Tax Cooperation and Information Exchange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To the extent that the Investors, Xunlei or their respective Affiliates are required to make tax filings in accordance with applicable tax laws, or participate in or conduct any audit or other tax-related procedures, the Group Companies and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7" w:name="page328"/>
    <w:bookmarkEnd w:id="327"/>
    <w:p>
      <w:pPr>
        <w:jc w:val="both"/>
        <w:spacing w:after="0" w:line="256" w:lineRule="auto"/>
        <w:rPr>
          <w:sz w:val="20"/>
          <w:szCs w:val="20"/>
          <w:color w:val="auto"/>
        </w:rPr>
      </w:pPr>
      <w:r>
        <w:rPr>
          <w:rFonts w:ascii="Times New Roman" w:cs="Times New Roman" w:eastAsia="Times New Roman" w:hAnsi="Times New Roman"/>
          <w:sz w:val="18"/>
          <w:szCs w:val="18"/>
          <w:color w:val="auto"/>
        </w:rPr>
        <w:t>Management Shareholders shall cooperate with the Investors and Xunlei and provide such information as reasonably requested by the Investors or Xunlei, including copies of relevant tax returns and tax payment certificates, relevant working papers and other tax-related materials. The Group Companies and the Management Shareholders shall, and shall cause their respective Affiliates to, submit the documents or information provided pursuant to this Section 6.05 as reasonably requested by the Investors or Xunlei. The Investors, Xunlei or their respective Affiliates shall keep confidential all information obtained pursuant to this Section 6.05, except to the extent disclosure is required in connection with submission of tax filings, tax refund applications, audits or other procedures.</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u w:val="single" w:color="auto"/>
          <w:color w:val="auto"/>
        </w:rPr>
        <w:t>No Solicitation or Negotiation</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The Management Shareholders (excluding Xinghan Zhilian) hereby covenant to the Investors that, without the prior written consent of the Investors, from the date of this Agreement until the earlier of (a) the Closing of the Transaction, or (b) the termination of this Agreement (whichever occurs earlier), except as otherwise provided in the Transaction Documents, the Management Shareholders (excluding Xinghan Zhilian) shall not, and shall cause the Group Companies, the existing shareholders, their respective Affiliates, and the respective Representatives of the foregoing Persons not to: (i) solicit, initiate, consider, encourage or accept any proposal or offer from any Person relating to: (1) the acquisition or purchase of all or any part of the equity interests of the Company or any Group Company, or the acquisition or purchase of the assets of the Company or any Group Company (other than inventory proposed to be sold in the ordinary course of business consistent with past practice), (2) any merger, consolidation or other business combination involving the Company or any Group Company, or (3) any capital reorganization, structural reorganization or any other business transaction that is not conducted in the ordinary course of business consistent with past practice; or (ii) participate in any discussion, conversation, negotiation or other communication regarding any of the foregoing matters, or provide any information relating to the foregoing matters to any Person, or in any other manner cooperate with, assist, participate in or encourage any effort or attempt by any Person to undertake any of the foregoing matters. The Management Shareholders (excluding Xinghan Zhilian) shall, and shall cause the Group Companies and the existing shareholders to, immediately cease and cause the termination of any discussions, conversations, negotiations or other communications relating to any of the foregoing matters that were initiated prior to the execution of this Agreement (if any). If any Person makes any proposal or offer, or initiates any inquiry or contact, relating to any of the foregoing matters, the Management Shareholders (excluding Xinghan Zhilian) shall promptly notify the Investors. For the avoidance of doubt, the transfer of equity interests in the Company by the Seller to Kingsoft Cloud and Xinghan Zhilian pursuant to this Agreement shall not constitute a breach of this Section.</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Seller hereby covenants to the Investors that, without the prior written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8" w:name="page329"/>
    <w:bookmarkEnd w:id="328"/>
    <w:p>
      <w:pPr>
        <w:jc w:val="both"/>
        <w:spacing w:after="0" w:line="253" w:lineRule="auto"/>
        <w:rPr>
          <w:sz w:val="20"/>
          <w:szCs w:val="20"/>
          <w:color w:val="auto"/>
        </w:rPr>
      </w:pPr>
      <w:r>
        <w:rPr>
          <w:rFonts w:ascii="Times New Roman" w:cs="Times New Roman" w:eastAsia="Times New Roman" w:hAnsi="Times New Roman"/>
          <w:sz w:val="18"/>
          <w:szCs w:val="18"/>
          <w:color w:val="auto"/>
        </w:rPr>
        <w:t>consent of the Investors, from the date of this Agreement until the earlier of (a) the Closing of the Transaction, or (b) the termination of this Agreement (whichever occurs earlier), except as otherwise provided in the Transaction Documents, the Seller shall not, and shall cause its Affiliates and their respective Representatives not to: (i) solicit, initiate, consider, encourage or accept any proposal or offer from any Person relating to: (1) the acquisition or purchase of all or any part of the equity interests in the Company held by the Seller, or the acquisition or purchase of the assets of the Company or any Group Company (other than inventory proposed to be sold in the ordinary course of business consistent with past practice), (2) any merger, consolidation or other business combination involving the Company or any Group Company, or (3) any capital reorganization, structural reorganization or any other business transaction that is not conducted in the ordinary course of business consistent with past practice; or (ii) participate in any discussion, conversation, negotiation or other communication regarding any of the foregoing matters, or provide any information relating to the foregoing matters to any Person, or in any other manner cooperate with, assist, participate in or encourage any effort or attempt by any Person to undertake any of the foregoing matters. For the avoidance of doubt, the transfer of equity interests in the Company by the Seller to Kingsoft Cloud and Xinghan Zhilian pursuant to this Agreement shall not constitute a breach of this Section.</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addition, from the date of this Agreement until the earlier of (a) the Closing of the Transaction, or (b) the termination of this Agreement (whichever occurs earlier), the Seller hereby covenants to the Investors that it shall not directly or indirectly transfer or otherwise dispose of any of the relevant Sale Equity held by it, nor create any encumbrance over any of the relevant Sale Equity held by it.</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Unless otherwise agreed in writing in advance by the Party providing Confidential Information, none of the other Parties shall disclose, and the Warrantors (for the avoidance of doubt, the Warrantors under this Section 6.07 shall refer to the Seller, the Group Companies and the Management Shareholders (excluding Xinghan Zhilian) as of or prior to the Closing Date, and shall refer to the Group Companies and the Management Shareholders as of and after the Closing Date) shall cause the Group Companies not to disclose, any Confidential Information in any manner.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 the existence of this Agreement, the other Transaction Documents and the transactions contemplated hereunder; (b) any terms, conditions or other aspects of this Agreement and the other Transaction Documents; (c) the status of negotiations relating to the transactions contemplated under this Agreement and the other Transaction Documents; and (d) any confidential or proprietary information and other confidential matters relating to a Party’s business, financial condition, customer information or other matters that have been or may be disclosed by such Party to the other Parties pursuant to the Transaction Documents.</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foregoing: (a) each Party may disclose Confidential Information:(i) solely for its own use, to its Affiliates and to the employees,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9" w:name="page330"/>
    <w:bookmarkEnd w:id="329"/>
    <w:p>
      <w:pPr>
        <w:jc w:val="both"/>
        <w:spacing w:after="0" w:line="255" w:lineRule="auto"/>
        <w:rPr>
          <w:sz w:val="20"/>
          <w:szCs w:val="20"/>
          <w:color w:val="auto"/>
        </w:rPr>
      </w:pPr>
      <w:r>
        <w:rPr>
          <w:rFonts w:ascii="Times New Roman" w:cs="Times New Roman" w:eastAsia="Times New Roman" w:hAnsi="Times New Roman"/>
          <w:sz w:val="18"/>
          <w:szCs w:val="18"/>
          <w:color w:val="auto"/>
        </w:rPr>
        <w:t>directors, banks, lenders, accountants, legal counsel, tax advisors, business partners, representatives or advisors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such Party or its Affiliates who need to know such Confidential Information, provided that each such Person has been informed of the confidential nature of such Confidential Information and is subject to confidentiality obligations substantially similar to those set forth in this Section 6.07; (ii) as required by any Applicable Law; and (iii) as required by any competent governmental authority, judicial body or securities regulatory authority; and (b) each Investor may disclose Confidential Information to its existing or potential partners, investors, financing providers or transferees who need to know such Confidential Information, provided that each such Person has been informed of the confidential nature of such Confidential Information and is subject to confidentiality obligations substantially similar to those set forth in this Section 6.07.</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8"/>
          <w:szCs w:val="18"/>
          <w:u w:val="single" w:color="auto"/>
          <w:color w:val="auto"/>
        </w:rPr>
        <w:t>Public Announcements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Without the prior written consent of the Seller and the Investors, none of the other Parties shall, and shall cause the relevant Persons not to, issue any press release or make any public announcement relating to the Transaction Documents or the transactions contemplated thereunder, nor communicate with any media in any manner regarding the foregoing. Where a Group Company is required to make any announcement or disclosure pursuant to Applicable Law or the requirements of any competent governmental authority, the Group Company shall, to the extent permitted by law, provide a draft of such announcement to the Seller and the Investors in advance and consult with the Seller and the Investors regarding the content of such announcement.</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8"/>
          <w:szCs w:val="18"/>
          <w:u w:val="single" w:color="auto"/>
          <w:color w:val="auto"/>
        </w:rPr>
        <w:t>Registration or Filing with the Market Regulation Authority; Personnel Changes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shall, and the Seller and the Investors shall cooperate with the Company, to complete, as soon as practicable after the Closing Date and in any event no later than twenty (20) Business Days after the Closing Date (or such other time as may be otherwise agreed in writing by all Investors), the registration of the changes contemplated under the Transaction Documents (including changes in shareholders of the Company and members of the board of directors), the replacement of those directors, supervisors, senior officers and other personnel of the Group Companies who, as of the date of this Agreement, are employees of Xunlei or its Affiliates with personnel designated by Xinghan Zhilian as deemed necessary by Xinghan Zhilian, and the registration and/or filing procedures relating to the new Articles of Association of the Company, with the competent registration authority of the Company, and obtain a new business license issued by the competent registration authority.</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Employee Equity Incentive Plan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Company shall, and the Seller and the Investors shall cooperate with the Company, to complete, as soon as practicable after the Closing Date and in any event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30" w:name="page331"/>
    <w:bookmarkEnd w:id="330"/>
    <w:p>
      <w:pPr>
        <w:jc w:val="both"/>
        <w:spacing w:after="0" w:line="258" w:lineRule="auto"/>
        <w:rPr>
          <w:sz w:val="20"/>
          <w:szCs w:val="20"/>
          <w:color w:val="auto"/>
        </w:rPr>
      </w:pPr>
      <w:r>
        <w:rPr>
          <w:rFonts w:ascii="Times New Roman" w:cs="Times New Roman" w:eastAsia="Times New Roman" w:hAnsi="Times New Roman"/>
          <w:sz w:val="18"/>
          <w:szCs w:val="18"/>
          <w:color w:val="auto"/>
        </w:rPr>
        <w:t>no later than twenty (20) Business Days after the Closing Date or five (5) Business Days after completion of the registration or filing with the market regulation authority (whichever is later), the change of the administrator of the employee equity incentive plan in a manner compliant with the currently effective employee equity incentive plan of the Company (including, without limitation, obtaining approval of such change of administrator at the level of the shareholders’ meeting of the Company), such that the board of directors of the Company becomes the new administrator under such employee equity incentive plan.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color w:val="auto"/>
        </w:rPr>
        <w:t>Handover</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Company and the Seller shall complete, within fifteen (15) Business Days after the Closing Date, the handover to the personnel designated by Xinghan Zhilian of the materials and matters set forth in Schedule L to this Agreement.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u w:val="single" w:color="auto"/>
          <w:color w:val="auto"/>
        </w:rPr>
        <w:t>Further Actions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Party shall use all reasonable efforts to take, or cause the other Parties to take, all necessary actions, and to do, or cause the other Parties to do, all things necessary, proper or advisable under Applicable Law, and to execute and deliver all necessary documents and other instruments, in order to satisfy all conditions set forth in Section 3 of this Agreement, perform the provisions of this Agreement and the other Transaction Documents, and consummate the transactions contemplated under this Agreement and the other Transaction Documents.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8"/>
          <w:szCs w:val="18"/>
          <w:u w:val="single" w:color="auto"/>
          <w:color w:val="auto"/>
        </w:rPr>
        <w:t>Post-Closing Covenants</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Transaction, the Group Companies and the Management Shareholders hereby covenant and undertake to the Investors and Xunlei that the Group Companies and the Management Shareholders shall, and shall cause each Group Company to:</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59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comply with and progressively improve corporate governance standards of each Group Company in all respects, and effectively implement and comprehensively enforce such corporate governance standards, including but not limited to compliance with applicable laws relating to company registration administration, value-added telecommunications, content delivery, artificial intelligence, data security and information protection, cybersecurity, internet information services, export control, taxation, labor and anti-corruption. The Group Companies shall progressively establish and improve internal corporate policies (including but not limited to internal control management policies), and shall fully implement and strictly enforce such policies;</w:t>
      </w:r>
    </w:p>
    <w:p>
      <w:pPr>
        <w:spacing w:after="0" w:line="18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business operations at all times in accordance 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1" w:name="page332"/>
    <w:bookmarkEnd w:id="331"/>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Applicable Law and good business practices, including but not limited to laws relating to company registration administration, value-added telecommunications, content delivery, artificial intelligence, data security and information protection, cybersecurity, internet information services, export control, taxation, labor and anti-corruption. With respect to lawful and compliant operations, the Group Companies and the Management Shareholders hereby specifically undertake the following:</w:t>
      </w:r>
    </w:p>
    <w:p>
      <w:pPr>
        <w:spacing w:after="0" w:line="183" w:lineRule="exact"/>
        <w:rPr>
          <w:sz w:val="20"/>
          <w:szCs w:val="20"/>
          <w:color w:val="auto"/>
        </w:rPr>
      </w:pPr>
    </w:p>
    <w:p>
      <w:pPr>
        <w:jc w:val="both"/>
        <w:ind w:left="1500" w:firstLine="640"/>
        <w:spacing w:after="0" w:line="258" w:lineRule="auto"/>
        <w:tabs>
          <w:tab w:leader="none" w:pos="279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Transaction, Shanghai Onething Technology Co., Ltd. (“</w:t>
      </w:r>
      <w:r>
        <w:rPr>
          <w:rFonts w:ascii="Times New Roman" w:cs="Times New Roman" w:eastAsia="Times New Roman" w:hAnsi="Times New Roman"/>
          <w:sz w:val="18"/>
          <w:szCs w:val="18"/>
          <w:b w:val="1"/>
          <w:bCs w:val="1"/>
          <w:color w:val="auto"/>
        </w:rPr>
        <w:t>Shanghai Onething</w:t>
      </w:r>
      <w:r>
        <w:rPr>
          <w:rFonts w:ascii="Times New Roman" w:cs="Times New Roman" w:eastAsia="Times New Roman" w:hAnsi="Times New Roman"/>
          <w:sz w:val="18"/>
          <w:szCs w:val="18"/>
          <w:color w:val="auto"/>
        </w:rPr>
        <w:t>”) shall, and the Management Shareholders shall cause Shanghai Onething to, complete deregistration in accordance with Applicable Law within no later than nine (9) months from the Closing Date, and during such period transfer all intellectual property owned by Shanghai Onething (for the avoidance of doubt, the intellectual property owned by Shanghai Onething includes only trademarks) to the Company;</w:t>
      </w:r>
    </w:p>
    <w:p>
      <w:pPr>
        <w:spacing w:after="0" w:line="183" w:lineRule="exact"/>
        <w:rPr>
          <w:rFonts w:ascii="Times New Roman" w:cs="Times New Roman" w:eastAsia="Times New Roman" w:hAnsi="Times New Roman"/>
          <w:sz w:val="18"/>
          <w:szCs w:val="18"/>
          <w:color w:val="auto"/>
        </w:rPr>
      </w:pPr>
    </w:p>
    <w:p>
      <w:pPr>
        <w:jc w:val="both"/>
        <w:ind w:left="1500" w:firstLine="640"/>
        <w:spacing w:after="0" w:line="258" w:lineRule="auto"/>
        <w:tabs>
          <w:tab w:leader="none" w:pos="279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months from the Closing Date, the Company shall migrate the Onething Cloud APP from the Apple Store developer account of HK Onething Limited to the Apple Store developer account of an existing Group Company or a newly established company, and shall complete the handover of the Apple Store developer account of HK Onething Limited and the related account documentation and information for maintenance and administration of such account to the personnel designated by the Seller;</w:t>
      </w:r>
    </w:p>
    <w:p>
      <w:pPr>
        <w:spacing w:after="0" w:line="183" w:lineRule="exact"/>
        <w:rPr>
          <w:rFonts w:ascii="Times New Roman" w:cs="Times New Roman" w:eastAsia="Times New Roman" w:hAnsi="Times New Roman"/>
          <w:sz w:val="18"/>
          <w:szCs w:val="18"/>
          <w:color w:val="auto"/>
        </w:rPr>
      </w:pPr>
    </w:p>
    <w:p>
      <w:pPr>
        <w:jc w:val="both"/>
        <w:ind w:left="1500" w:firstLine="640"/>
        <w:spacing w:after="0" w:line="258" w:lineRule="auto"/>
        <w:tabs>
          <w:tab w:leader="none" w:pos="279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with respect to the historical waiver of receivables and payables between the Group Companies and Xunlei Network Technologies Co., Ltd., Reddot Tech Limited, Xunlei Limited, and Xunlei Computer (Shenzhen) Co., Ltd., the Group Companies shall complete the required tax filing procedures in accordance with applicable regulations (for the avoidance of doubt, Xunlei shall provide necessary cooperation with respect to such actions of the Group Companies);</w:t>
      </w:r>
    </w:p>
    <w:p>
      <w:pPr>
        <w:spacing w:after="0" w:line="183" w:lineRule="exact"/>
        <w:rPr>
          <w:rFonts w:ascii="Times New Roman" w:cs="Times New Roman" w:eastAsia="Times New Roman" w:hAnsi="Times New Roman"/>
          <w:sz w:val="18"/>
          <w:szCs w:val="18"/>
          <w:color w:val="auto"/>
        </w:rPr>
      </w:pPr>
    </w:p>
    <w:p>
      <w:pPr>
        <w:jc w:val="both"/>
        <w:ind w:left="1500" w:firstLine="640"/>
        <w:spacing w:after="0" w:line="261" w:lineRule="auto"/>
        <w:tabs>
          <w:tab w:leader="none" w:pos="279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Group Companies shall complete the filing procedures for large language models with the competent authorities as soon as practicable as required, and shall progressively cease providing access services to large language models that are unable to complete filing within the PRC (including but not limited to ChatGPT and Gemini);</w:t>
      </w:r>
    </w:p>
    <w:p>
      <w:pPr>
        <w:spacing w:after="0" w:line="179" w:lineRule="exact"/>
        <w:rPr>
          <w:rFonts w:ascii="Times New Roman" w:cs="Times New Roman" w:eastAsia="Times New Roman" w:hAnsi="Times New Roman"/>
          <w:sz w:val="18"/>
          <w:szCs w:val="18"/>
          <w:color w:val="auto"/>
        </w:rPr>
      </w:pPr>
    </w:p>
    <w:p>
      <w:pPr>
        <w:ind w:left="2780" w:hanging="640"/>
        <w:spacing w:after="0"/>
        <w:tabs>
          <w:tab w:leader="none" w:pos="27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 (6) months after the Closing Date, engage a</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332" w:name="page333"/>
    <w:bookmarkEnd w:id="332"/>
    <w:p>
      <w:pPr>
        <w:jc w:val="both"/>
        <w:ind w:left="1500"/>
        <w:spacing w:after="0" w:line="266" w:lineRule="auto"/>
        <w:rPr>
          <w:sz w:val="20"/>
          <w:szCs w:val="20"/>
          <w:color w:val="auto"/>
        </w:rPr>
      </w:pPr>
      <w:r>
        <w:rPr>
          <w:rFonts w:ascii="Times New Roman" w:cs="Times New Roman" w:eastAsia="Times New Roman" w:hAnsi="Times New Roman"/>
          <w:sz w:val="18"/>
          <w:szCs w:val="18"/>
          <w:color w:val="auto"/>
        </w:rPr>
        <w:t>qualified information system security level evaluation institution in accordance with Applicable Law and requirements of competent authorities to assess the information systems of the Group Companies, conduct the information system security level evaluation, and complete filing of the information system security level;</w:t>
      </w:r>
    </w:p>
    <w:p>
      <w:pPr>
        <w:spacing w:after="0" w:line="176" w:lineRule="exact"/>
        <w:rPr>
          <w:sz w:val="20"/>
          <w:szCs w:val="20"/>
          <w:color w:val="auto"/>
        </w:rPr>
      </w:pPr>
    </w:p>
    <w:p>
      <w:pPr>
        <w:jc w:val="both"/>
        <w:ind w:left="840" w:firstLine="652"/>
        <w:spacing w:after="0" w:line="256" w:lineRule="auto"/>
        <w:tabs>
          <w:tab w:leader="none" w:pos="21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necessary measures to protect their respective intellectual property rights and use intellectual property in a lawful manner, and improve the intellectual property protection framework of the Company, use best efforts to safeguard the interests of the Group Companies relating to intellectual property, and use reasonable best commercial efforts to avoid infringement of intellectual property rights and other lawful rights and interests of any third party (including but not limited to establishing and improving intellectual property management and protection policies suitable for the business of the Group Companies as soon as practicable following the Closing);</w:t>
      </w:r>
    </w:p>
    <w:p>
      <w:pPr>
        <w:spacing w:after="0" w:line="187" w:lineRule="exact"/>
        <w:rPr>
          <w:rFonts w:ascii="Times New Roman" w:cs="Times New Roman" w:eastAsia="Times New Roman" w:hAnsi="Times New Roman"/>
          <w:sz w:val="18"/>
          <w:szCs w:val="18"/>
          <w:color w:val="auto"/>
        </w:rPr>
      </w:pPr>
    </w:p>
    <w:p>
      <w:pPr>
        <w:jc w:val="both"/>
        <w:ind w:left="840" w:firstLine="652"/>
        <w:spacing w:after="0" w:line="266" w:lineRule="auto"/>
        <w:tabs>
          <w:tab w:leader="none" w:pos="21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employees with professional knowledge, management capability and working experience in accordance with business development needs, and execute employment contracts as well as confidentiality, non-compete and intellectual property protection agreements with all employees in accordance with the PRC laws;</w:t>
      </w:r>
    </w:p>
    <w:p>
      <w:pPr>
        <w:spacing w:after="0" w:line="175" w:lineRule="exact"/>
        <w:rPr>
          <w:rFonts w:ascii="Times New Roman" w:cs="Times New Roman" w:eastAsia="Times New Roman" w:hAnsi="Times New Roman"/>
          <w:sz w:val="18"/>
          <w:szCs w:val="18"/>
          <w:color w:val="auto"/>
        </w:rPr>
      </w:pPr>
    </w:p>
    <w:p>
      <w:pPr>
        <w:jc w:val="both"/>
        <w:ind w:left="840" w:firstLine="652"/>
        <w:spacing w:after="0" w:line="261" w:lineRule="auto"/>
        <w:tabs>
          <w:tab w:leader="none" w:pos="21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PRC laws, promptly and fully declare and pay all applicable social insurance contributions for all employees, withhold and pay on behalf of employees the portion of social insurance contributions payable by employees, and make supplemental payments or appropriate accounting provisions with respect to any underpaid or unpaid social insurance contributions as of the Closing Date;</w:t>
      </w:r>
    </w:p>
    <w:p>
      <w:pPr>
        <w:spacing w:after="0" w:line="179" w:lineRule="exact"/>
        <w:rPr>
          <w:rFonts w:ascii="Times New Roman" w:cs="Times New Roman" w:eastAsia="Times New Roman" w:hAnsi="Times New Roman"/>
          <w:sz w:val="18"/>
          <w:szCs w:val="18"/>
          <w:color w:val="auto"/>
        </w:rPr>
      </w:pPr>
    </w:p>
    <w:p>
      <w:pPr>
        <w:jc w:val="both"/>
        <w:ind w:left="840" w:firstLine="652"/>
        <w:spacing w:after="0" w:line="258" w:lineRule="auto"/>
        <w:tabs>
          <w:tab w:leader="none" w:pos="21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PRC laws or applicable local tax regulations, promptly and fully declare individual income tax applicable to all employees and duly perform withholding obligations, and make appropriate accounting provisions with respect to taxes required to be withheld as of the Closing Date; in addition to the foregoing, timely perform tax payment obligations and file other tax returns or perform withholding obligations in accordance with the PRC laws or applicable local tax regulations;</w:t>
      </w:r>
    </w:p>
    <w:p>
      <w:pPr>
        <w:spacing w:after="0" w:line="183"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transactions with Affiliates comply with the arm’s length principle;</w:t>
      </w:r>
    </w:p>
    <w:p>
      <w:pPr>
        <w:spacing w:after="0" w:line="225" w:lineRule="exact"/>
        <w:rPr>
          <w:rFonts w:ascii="Times New Roman" w:cs="Times New Roman" w:eastAsia="Times New Roman" w:hAnsi="Times New Roman"/>
          <w:sz w:val="18"/>
          <w:szCs w:val="18"/>
          <w:color w:val="auto"/>
        </w:rPr>
      </w:pPr>
    </w:p>
    <w:p>
      <w:pPr>
        <w:ind w:left="840" w:right="20" w:firstLine="652"/>
        <w:spacing w:after="0" w:line="282" w:lineRule="auto"/>
        <w:tabs>
          <w:tab w:leader="none" w:pos="21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there are no off-book sales revenues, off-book liabilities, off-book receivables, or occupation of funds of the Group Companies by the Management Shareholders, employees of the Group</w:t>
      </w:r>
    </w:p>
    <w:p>
      <w:pPr>
        <w:spacing w:after="0" w:line="3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333" w:name="page334"/>
    <w:bookmarkEnd w:id="333"/>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Companies or their respective Affiliates; in particular, following the Closing Date, the Management Shareholders hereby undertake that, without the prior written consent of the Investors, neither they nor their respective Affiliates shall use any funds or payments of the Group Companies to repay their personal debts, or otherwise create any loan or other indebtedness relationship with any third party that would result in a Material Adverse Effect on the operations of the Group Companies as a whole;</w:t>
      </w:r>
    </w:p>
    <w:p>
      <w:pPr>
        <w:spacing w:after="0" w:line="183" w:lineRule="exact"/>
        <w:rPr>
          <w:sz w:val="20"/>
          <w:szCs w:val="20"/>
          <w:color w:val="auto"/>
        </w:rPr>
      </w:pPr>
    </w:p>
    <w:p>
      <w:pPr>
        <w:jc w:val="both"/>
        <w:ind w:left="1300" w:firstLine="652"/>
        <w:spacing w:after="0" w:line="254" w:lineRule="auto"/>
        <w:tabs>
          <w:tab w:leader="none" w:pos="259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financial statements in the ordinary course of business following the Closing Date in accordance with all applicable laws and PRC GAAP on a consistent basis, and ensure that such financial statements are complete and accurate in all respects and fairly present the events, assets and liabilities, financial condition and results of operations of the Group Companies as of the relevant dates and for the relevant periods covered by such financial statements, and are not affected by any abnormal or non-recurring items not reflected therein. The accounting basis and standards adopted by the Group Companies in preparing financial statements shall be consistent with those adopted during the previous two fiscal years, unless new accounting standards are required to be adopted in accordance with aplicable law;</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9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anti-corruption laws, anti-corruption and anti-commercial bribery policies, and all applicable anti-money laundering and counter-terrorism financing laws and regulations, and duly perform anti-money laundering obligations;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9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Progressively improve and comply with cybersecurity and data protection related laws in all aspects of existing and future businesses and operations of the Group Companies.</w:t>
      </w:r>
    </w:p>
    <w:p>
      <w:pPr>
        <w:spacing w:after="0" w:line="162" w:lineRule="exact"/>
        <w:rPr>
          <w:sz w:val="20"/>
          <w:szCs w:val="20"/>
          <w:color w:val="auto"/>
        </w:rPr>
      </w:pPr>
    </w:p>
    <w:p>
      <w:pPr>
        <w:jc w:val="both"/>
        <w:ind w:firstLine="1304"/>
        <w:spacing w:after="0" w:line="266" w:lineRule="auto"/>
        <w:tabs>
          <w:tab w:leader="none" w:pos="19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condition precedent set forth in Section 3.02 of this Agreement has been waived by the Investors based on any undertaking of the Seller, the Seller shall comply with such undertaking and complete the relevant matters within the timeframe agreed by the Investors.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  Tax Matters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Tax Indemnity</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Agreement that may conflict with this Section 7.01, the Group Companies hereby jointly and severally undertake to indemnify the Investors, their Affiliates, their respective Representatives, and the successors and assigns of the foregoing (collectively, “</w:t>
      </w:r>
      <w:r>
        <w:rPr>
          <w:rFonts w:ascii="Times New Roman" w:cs="Times New Roman" w:eastAsia="Times New Roman" w:hAnsi="Times New Roman"/>
          <w:sz w:val="18"/>
          <w:szCs w:val="18"/>
          <w:b w:val="1"/>
          <w:bCs w:val="1"/>
          <w:color w:val="auto"/>
        </w:rPr>
        <w:t>Investor Indemnified Parties</w:t>
      </w:r>
      <w:r>
        <w:rPr>
          <w:rFonts w:ascii="Times New Roman" w:cs="Times New Roman" w:eastAsia="Times New Roman" w:hAnsi="Times New Roman"/>
          <w:sz w:val="18"/>
          <w:szCs w:val="18"/>
          <w:color w:val="auto"/>
        </w:rPr>
        <w:t>”) in full for any and all Losses (as defined in Section 8.02(a) of this Agreement), if any, incurred by any Investor Indemnified Party arising from or in connection with any Tax liabilities of the Company or any other Group Company (including any breach of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4" w:name="page335"/>
    <w:bookmarkEnd w:id="33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representations and warranties set forth in Section 1.13 of </w:t>
      </w:r>
      <w:r>
        <w:rPr>
          <w:rFonts w:ascii="Times New Roman" w:cs="Times New Roman" w:eastAsia="Times New Roman" w:hAnsi="Times New Roman"/>
          <w:sz w:val="18"/>
          <w:szCs w:val="18"/>
          <w:u w:val="single" w:color="auto"/>
          <w:color w:val="auto"/>
        </w:rPr>
        <w:t>Schedule I-2</w:t>
      </w:r>
      <w:r>
        <w:rPr>
          <w:rFonts w:ascii="Times New Roman" w:cs="Times New Roman" w:eastAsia="Times New Roman" w:hAnsi="Times New Roman"/>
          <w:sz w:val="18"/>
          <w:szCs w:val="18"/>
          <w:color w:val="auto"/>
        </w:rPr>
        <w:t xml:space="preserve"> hereto), including any Losses incurred by any Investor Indemnified Party in connection with any dispute or other proceedings relating to such taxes. The indemnification under this Section shall also be subject to the deductible threshold, aggregation of Losses and overall cap applicable to all Losses that the Investors are entitled to claim, as provided in Section 8.02(b) of this Agreement.</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Transaction Taxes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With respect to any taxes imposed on the respective Parties to the Transaction arising from or in connection with the transactions contemplated under the Transaction Documents under Applicable Law, each Party shall be responsible for filing and paying the taxes that it is required to bear in accordance with Applicable Law.</w:t>
      </w:r>
    </w:p>
    <w:p>
      <w:pPr>
        <w:spacing w:after="0" w:line="17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8  Indemnification</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Survival of Representations and Warranties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made by the Seller, the Group Companies and/or the Management Shareholders (excluding Xinghan Zhilian) contained in the Transaction Documents and the Closing Deliverables shall survive for a period of twelve</w:t>
      </w:r>
    </w:p>
    <w:p>
      <w:pPr>
        <w:jc w:val="both"/>
        <w:ind w:firstLine="8"/>
        <w:spacing w:after="0" w:line="251" w:lineRule="auto"/>
        <w:tabs>
          <w:tab w:leader="none" w:pos="34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Closing Date of the Transaction (“</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During the Survival Period, the Investors shall be entitled to make claims in accordance with this Section 8 with respect to any untrue, inaccurate or breached representation or warranty made by the Seller, the Group Companies and/or the Management Shareholders (excluding Xinghan Zhilian) (each, a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and the indemnification liability of the Seller, the Group Companies and/or the Management Shareholders (excluding Xinghan Zhilian) for breach of the foregoing representations and warranties shall not be reduced or waived by virtue of any actual knowledge of any Breach by the Investors or their Representatives prior to the Closing of the Transaction. Upon expiration of the Survival Period, the Investors shall no longer be entitled to make any claim with respect to any breach of the foregoing representations and warranties, except in cases where such breach arises from fraud or intentional concealment by the Seller, the Group Companies and/or the Management Shareholders (excluding Xinghan Zhilian).</w:t>
      </w:r>
    </w:p>
    <w:p>
      <w:pPr>
        <w:spacing w:after="0" w:line="1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1304"/>
        <w:spacing w:after="0" w:line="256" w:lineRule="auto"/>
        <w:tabs>
          <w:tab w:leader="none" w:pos="197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liabilities, losses, damages, claims, costs and expenses, interest, awards, judgments and penalties (including, without limitation, legal fees and expenses of attorneys and advisors, and any Losses incurred by the Investors as a result of any claims brought by any Person or otherwise)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whether incurred prior to or after the Closing of the Transaction (and with respect to item (iii) below, regardless of whether such matters have been disclosed in the Disclosure Schedules or otherwise), directly suffered or incurred by the Investor Indemnified Parties or the Seller (for the avoidance of doubt, the Seller shall only be entitled to bring claims for Losses arising under Section 8.02(a)(ii)), the Investor Indemnified Parties or the Seller (as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5" w:name="page336"/>
    <w:bookmarkEnd w:id="335"/>
    <w:p>
      <w:pPr>
        <w:jc w:val="both"/>
        <w:spacing w:after="0" w:line="261" w:lineRule="auto"/>
        <w:rPr>
          <w:sz w:val="20"/>
          <w:szCs w:val="20"/>
          <w:color w:val="auto"/>
        </w:rPr>
      </w:pPr>
      <w:r>
        <w:rPr>
          <w:rFonts w:ascii="Times New Roman" w:cs="Times New Roman" w:eastAsia="Times New Roman" w:hAnsi="Times New Roman"/>
          <w:sz w:val="18"/>
          <w:szCs w:val="18"/>
          <w:color w:val="auto"/>
        </w:rPr>
        <w:t>applicable) shall be entitled to indemnification from the Group Companies and/or the Management Shareholders (whether Xinghan Zhilian is included, and whether the relevant matter involves indemnification obligations of the Management Shareholders, shall be determined in accordance with the provisions below), such that the Investor Indemnified Parties or the Seller (as applicable) shall be placed in the same economic and commercial position as if the following matters had not occurred:</w:t>
      </w:r>
    </w:p>
    <w:p>
      <w:pPr>
        <w:spacing w:after="0" w:line="180" w:lineRule="exact"/>
        <w:rPr>
          <w:sz w:val="20"/>
          <w:szCs w:val="20"/>
          <w:color w:val="auto"/>
        </w:rPr>
      </w:pPr>
    </w:p>
    <w:p>
      <w:pPr>
        <w:jc w:val="both"/>
        <w:ind w:left="1300" w:right="20" w:firstLine="652"/>
        <w:spacing w:after="0" w:line="266" w:lineRule="auto"/>
        <w:tabs>
          <w:tab w:leader="none" w:pos="263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 Group Companies and/or the Management Shareholders (excluding Xinghan Zhilian) of any representation, statement or warranty made by them under the Transaction Documents or the Closing Deliverables;</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63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 Group Companies and/or the Management Shareholders of any covenant, undertaking or agreement made by them under this Agreement; and</w:t>
      </w:r>
    </w:p>
    <w:p>
      <w:pPr>
        <w:spacing w:after="0" w:line="161"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63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arising from unpaid employee social insurance contributions and housing provident fund contributions owed by the Group Companies prior to the Closing (including any penalties, late fees, settlement amounts and other similar fees and expenses arising therefrom).</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For the avoidance of doubt, with respect to the matters set forth in Section 8.02(a) above, the Management Shareholders shall be jointly and severally liable together with the Group Companies for indemnification only if such matters independently arise after April 15, 2022 (“</w:t>
      </w:r>
      <w:r>
        <w:rPr>
          <w:rFonts w:ascii="Times New Roman" w:cs="Times New Roman" w:eastAsia="Times New Roman" w:hAnsi="Times New Roman"/>
          <w:sz w:val="18"/>
          <w:szCs w:val="18"/>
          <w:b w:val="1"/>
          <w:bCs w:val="1"/>
          <w:color w:val="auto"/>
        </w:rPr>
        <w:t>Management Takeover Date</w:t>
      </w:r>
      <w:r>
        <w:rPr>
          <w:rFonts w:ascii="Times New Roman" w:cs="Times New Roman" w:eastAsia="Times New Roman" w:hAnsi="Times New Roman"/>
          <w:sz w:val="18"/>
          <w:szCs w:val="18"/>
          <w:color w:val="auto"/>
        </w:rPr>
        <w:t>”) (i.e., such matters arise entirely and directly from new events, actions or circumstances occurring after the Management Takeover Date and have no direct or indirect causal relationship with any matters existing prior to the Management Takeover Date, including but not limited to any actions, events, circumstances, agreements or omissions). Otherwise, such matters shall be indemnified solely by the Group Companies.</w:t>
      </w:r>
    </w:p>
    <w:p>
      <w:pPr>
        <w:spacing w:after="0" w:line="187" w:lineRule="exact"/>
        <w:rPr>
          <w:sz w:val="20"/>
          <w:szCs w:val="20"/>
          <w:color w:val="auto"/>
        </w:rPr>
      </w:pPr>
    </w:p>
    <w:p>
      <w:pPr>
        <w:jc w:val="both"/>
        <w:ind w:firstLine="1304"/>
        <w:spacing w:after="0" w:line="254" w:lineRule="auto"/>
        <w:tabs>
          <w:tab w:leader="none" w:pos="197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Section 8.02(a): (i) with respect to each Investor’s Investor Indemnified Parties or the Seller (as applicable), the Group Companies and/or the Management Shareholders shall not be liable for any Losses incurred by such Investor’s Investor Indemnified Parties or the Seller (as applicable) arising from the matters set forth in Section 8.02(a) unless the aggregate amount of such Losses exceeds RMB 500,000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For the avoidance of doubt, once the Deductible is reached, the Group Companies and/or the Management Shareholders (whether Xinghan Zhilian is included depends on which matter set forth in Section 8.02(a) is breached and whether such matter involves indemnification obligations of the Management Shareholders) shall jointly and severally indemnify such Investor’s Investor Indemnified Parties or the Seller (as applicable) for Losses within and exceeding the Deductible; provided that the aggregate and maximum amount of all Losses that all Investor Indemnified Parties of such Investor are entitled to claim shall be limited to: (x) the total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6" w:name="page337"/>
    <w:bookmarkEnd w:id="336"/>
    <w:p>
      <w:pPr>
        <w:jc w:val="both"/>
        <w:spacing w:after="0" w:line="251" w:lineRule="auto"/>
        <w:rPr>
          <w:sz w:val="20"/>
          <w:szCs w:val="20"/>
          <w:color w:val="auto"/>
        </w:rPr>
      </w:pPr>
      <w:r>
        <w:rPr>
          <w:rFonts w:ascii="Times New Roman" w:cs="Times New Roman" w:eastAsia="Times New Roman" w:hAnsi="Times New Roman"/>
          <w:sz w:val="18"/>
          <w:szCs w:val="18"/>
          <w:color w:val="auto"/>
        </w:rPr>
        <w:t>amount of the applicable Transfer Consideration paid by such Investor; plus (y) the total amount of interest calculated on such Transfer Consideration at a simple interest rate of six percent (6%) per annum from the Closing Date of the Transaction (for the avoidance of doubt, the formula for calculating such interest is: total interest = Transfer Consideration × (number of calendar days from the Closing Date of the Transaction to the date of full payment of the Loss ÷ 365) × 6%; for the avoidance of doubt, with respect to the first installment of the Transfer Consideration paid by Xinghan Zhilian, such interest shall be calculated from the date of the First Xinghan Zhilian Payment; with respect to the second installment of the Transfer Consideration paid by Xinghan Zhilian and the Transfer Consideration paid by Kingsoft Cloud, such interest shall be calculated from the Closing Date of the Transaction). With respect to the Seller, the aggregate and maximum amount of all Losses that the Seller is entitled to claim shall be limited to: (x) the value corresponding to all equity interests in the Company held by the Seller immediately following the Closing of the Transaction calculated based on the valuation in this Transaction (i.e., RMB 50 million); plus (y) the total amount of interest calculated on such value amount at a simple interest rate of six percent (6%) per annum from the Closing Date of the Transaction; (ii) subject to the provisions of Item (i) above, with respect to the Management Shareholders, unless the matters set forth in Section 8.02(a) arise from fraud or intentional misconduct of the Management Shareholders, the aggregate and maximum indemnification liability of each Management Shareholder shall be limited to the actual amount of proceeds in good faith realized from the direct and indirect disposal of the equity interests in the Company held by such Management Shareholder at such time, and the personal assets and family assets of each Management Shareholder other than such equity interests in the Company shall not be involved in the indemnification payable to such Investor’s Investor Indemnified Parties or the Seller (as applicable); (iii) subject to the provisions of items (i) and (ii) above, when an Investor’s Investor Indemnified Parties or the Seller (as applicable) makes an indemnification claim against the Group Companies and the Management Shareholders (whether Xinghan Zhilian is included depends on which matter set forth in Section 8.02(a) is breached and whether such matter involves indemnification obligations of the Management Shareholders), such Investor’s Investor Indemnified Parties or the Seller (as applicable) shall first seek indemnification from the Group Companies, and where the Group Companies are unable to fully perform such indemnification obligations, the Management Shareholders (whether Xinghan Zhilian is included depends on which matter set forth in Section 8.02(a) is breached and whether such matter involves indemnification obligations of the Management Shareholders) shall jointly and severally bear supplemental indemnification liability for the portion that the Group Companies are unable to perform.</w:t>
      </w:r>
    </w:p>
    <w:p>
      <w:pPr>
        <w:spacing w:after="0" w:line="204" w:lineRule="exact"/>
        <w:rPr>
          <w:sz w:val="20"/>
          <w:szCs w:val="20"/>
          <w:color w:val="auto"/>
        </w:rPr>
      </w:pPr>
    </w:p>
    <w:p>
      <w:pPr>
        <w:jc w:val="both"/>
        <w:ind w:firstLine="1304"/>
        <w:spacing w:after="0" w:line="266" w:lineRule="auto"/>
        <w:tabs>
          <w:tab w:leader="none" w:pos="197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Losses directly suffered or incurred by the Investor Indemnified Parties arising from the following matters (whether incurred prior to or after the Closing of the Transaction), the Seller shall indemnify the Investor Indemnified Parties and hold them harmless, such that the Investor Indemnified Parties shall be placed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color w:val="auto"/>
        </w:rPr>
        <w:t>in the same economic and commercial position as if the following matters had not occurred:</w:t>
      </w:r>
    </w:p>
    <w:p>
      <w:pPr>
        <w:spacing w:after="0" w:line="225" w:lineRule="exact"/>
        <w:rPr>
          <w:sz w:val="20"/>
          <w:szCs w:val="20"/>
          <w:color w:val="auto"/>
        </w:rPr>
      </w:pPr>
    </w:p>
    <w:p>
      <w:pPr>
        <w:ind w:left="1300" w:firstLine="652"/>
        <w:spacing w:after="0" w:line="282" w:lineRule="auto"/>
        <w:tabs>
          <w:tab w:leader="none" w:pos="259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 Seller of any representation, statement or warranty made by the Seller under the Transaction Documents or the Closing Deliverables;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 Seller of any covenant, undertaking or agreement made by the Seller under the Transaction Documents;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defect in title to, or claim relating to, the Sale Equity.</w:t>
      </w:r>
    </w:p>
    <w:p>
      <w:pPr>
        <w:spacing w:after="0" w:line="225" w:lineRule="exact"/>
        <w:rPr>
          <w:sz w:val="20"/>
          <w:szCs w:val="20"/>
          <w:color w:val="auto"/>
        </w:rPr>
      </w:pPr>
    </w:p>
    <w:p>
      <w:pPr>
        <w:jc w:val="both"/>
        <w:ind w:left="120" w:firstLine="1240"/>
        <w:spacing w:after="0" w:line="253" w:lineRule="auto"/>
        <w:rPr>
          <w:sz w:val="20"/>
          <w:szCs w:val="20"/>
          <w:color w:val="auto"/>
        </w:rPr>
      </w:pPr>
      <w:r>
        <w:rPr>
          <w:rFonts w:ascii="Times New Roman" w:cs="Times New Roman" w:eastAsia="Times New Roman" w:hAnsi="Times New Roman"/>
          <w:sz w:val="18"/>
          <w:szCs w:val="18"/>
          <w:color w:val="auto"/>
        </w:rPr>
        <w:t>For the avoidance of doubt, with respect to the matters set forth in Section 8.02(c) above, the Seller shall only be liable for indemnification if such matters independently arise during the period from April 02, 2020 to the Management Takeover Date (“</w:t>
      </w:r>
      <w:r>
        <w:rPr>
          <w:rFonts w:ascii="Times New Roman" w:cs="Times New Roman" w:eastAsia="Times New Roman" w:hAnsi="Times New Roman"/>
          <w:sz w:val="18"/>
          <w:szCs w:val="18"/>
          <w:b w:val="1"/>
          <w:bCs w:val="1"/>
          <w:color w:val="auto"/>
        </w:rPr>
        <w:t>Seller Management Period</w:t>
      </w:r>
      <w:r>
        <w:rPr>
          <w:rFonts w:ascii="Times New Roman" w:cs="Times New Roman" w:eastAsia="Times New Roman" w:hAnsi="Times New Roman"/>
          <w:sz w:val="18"/>
          <w:szCs w:val="18"/>
          <w:color w:val="auto"/>
        </w:rPr>
        <w:t>”) (i.e., such matters arise entirely and directly from new events, actions or circumstances occurring during the Seller Management Period and have no direct or indirect causal relationship with any matters existing prior to the Seller Management Period, including but not limited to any actions, events, circumstances, agreements or omissions). Otherwise, such matters shall be indemnified solely by the Group Companies. Notwithstanding the foregoing provisions of Section 8.02(c), with respect to all Investor Indemnified Parties of each Investor, the Seller shall not be liable for any Losses arising from the matters set forth in Section 8.02(c) unless the aggregate amount of such Losses exceeds RMB 500,000 (“</w:t>
      </w:r>
      <w:r>
        <w:rPr>
          <w:rFonts w:ascii="Times New Roman" w:cs="Times New Roman" w:eastAsia="Times New Roman" w:hAnsi="Times New Roman"/>
          <w:sz w:val="18"/>
          <w:szCs w:val="18"/>
          <w:b w:val="1"/>
          <w:bCs w:val="1"/>
          <w:color w:val="auto"/>
        </w:rPr>
        <w:t>Seller Deductible</w:t>
      </w:r>
      <w:r>
        <w:rPr>
          <w:rFonts w:ascii="Times New Roman" w:cs="Times New Roman" w:eastAsia="Times New Roman" w:hAnsi="Times New Roman"/>
          <w:sz w:val="18"/>
          <w:szCs w:val="18"/>
          <w:color w:val="auto"/>
        </w:rPr>
        <w:t>”). For the avoidance of doubt, once the Seller Deductible is reached, the Seller shall indemnify such Investor Indemnified Parties for Losses within and exceeding the Seller Deductible; provided that the aggregate maximum amount of indemnification payable by the Seller to all Investor Indemnified Parties of each Investor shall be limited to RMB 10 million.</w:t>
      </w:r>
    </w:p>
    <w:p>
      <w:pPr>
        <w:spacing w:after="0" w:line="192"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Breach in Payment of Transfer Consideration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not due to any reason attributable to the Seller, the Group Companies or the Management Shareholders (excluding Xinghan Zhilian), and unless otherwise agreed by the Seller, Kingsoft Cloud fails to pay in full the applicable Transfer Consideration to the Seller in accordance with Section 3.03 of this Agreement, Kingsoft Cloud shall pay to the Seller liquidated damages at a rate of 0.01% per day of the overdue and unpaid portion of the Transfer Consideration payable by Kingsoft Cloud. If Xinghan Zhilian fails to pay in full the first installment of the Transfer Consideration payable by Xinghan Zhilian within ten (10) Business Days after the date of execution of this Agreement, or fails to pay in full the second installment of the Transfer Consideration payable by Xinghan Zhilian in accordance with Section 3.03 of this Agreement, Xinghan Zhilian shall pay to the Seller liquidated damages at a rate of 0.01% per day of the overdue and unpaid portion of the applicable Transfer Consideration payable by Xinghan Zhilian (including the first installment of the Transfer Consideration and the second installment of the Transfer Consideration, as applicable). If any Investor fails to pay any applicable Transfer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8" w:name="page339"/>
    <w:bookmarkEnd w:id="338"/>
    <w:p>
      <w:pPr>
        <w:jc w:val="both"/>
        <w:spacing w:after="0" w:line="255" w:lineRule="auto"/>
        <w:rPr>
          <w:sz w:val="20"/>
          <w:szCs w:val="20"/>
          <w:color w:val="auto"/>
        </w:rPr>
      </w:pPr>
      <w:r>
        <w:rPr>
          <w:rFonts w:ascii="Times New Roman" w:cs="Times New Roman" w:eastAsia="Times New Roman" w:hAnsi="Times New Roman"/>
          <w:sz w:val="18"/>
          <w:szCs w:val="18"/>
          <w:color w:val="auto"/>
        </w:rPr>
        <w:t>Consideration (for Xinghan Zhilian, including the first installment of the Transfer Consideration and the second installment of the Transfer Consideration) for more than twenty-five (25) days (</w:t>
      </w:r>
      <w:r>
        <w:rPr>
          <w:rFonts w:ascii="Times New Roman" w:cs="Times New Roman" w:eastAsia="Times New Roman" w:hAnsi="Times New Roman"/>
          <w:sz w:val="18"/>
          <w:szCs w:val="18"/>
          <w:b w:val="1"/>
          <w:bCs w:val="1"/>
          <w:color w:val="auto"/>
        </w:rPr>
        <w:t>“Overdue Payment Period”</w:t>
      </w:r>
      <w:r>
        <w:rPr>
          <w:rFonts w:ascii="Times New Roman" w:cs="Times New Roman" w:eastAsia="Times New Roman" w:hAnsi="Times New Roman"/>
          <w:sz w:val="18"/>
          <w:szCs w:val="18"/>
          <w:color w:val="auto"/>
        </w:rPr>
        <w:t>), unless the Seller and such Investor otherwise agree to continue the performance of this Agreement (and determine, based on mutual agreement, whether the aforesaid liquidated damages shall be payable), the Seller shall have the right to terminate the rights and obligations between the Seller and such Investor under this Agreement, as well as the equity transfer transaction contemplated under this Agreement between such Investor and the Seller, and the Seller shall refund to such Investor the Transfer Consideration already paid by such Investor after deducting any unpaid liquidated damages (if any) in accordance with Section 9.01 of this Agreement.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 all conditions precedent to Closing set forth in Section 3.02(2) of this Agreement (other than Sections 3.02(e) and 3.02(g)) have been satisfied, but such Investor refuses or waives the Closing without justified reason, in addition to the Seller’s right to claim the overdue liquidated damages and exercise the termination right as set forth above, the Seller shall also be entitled to claim compensation from such Investor for intermediary fees incurred by the Seller (including but not limited to legal and financial advisory fees and expenses) and other direct losses incurred thereby. Unless the Seller and such Investor otherwise agree to continue performance of this Agreement, the Seller shall exercise such termination right within fifteen (15) Business Days after the expiration of the Overdue Payment Period.</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 all conditions precedent to Closing set forth in Section 3.02(2) of this Agreement (other than Sections 3.02(e) and 3.02(g)) have been satisfied, but the Seller refuses or waives the Closing without justified reason, any Investor shall have the right, in addition to terminating this Agreement pursuant to Section 9.01 (solely as between such Investor and the Seller), to claim compensation from the Seller for intermediary fees incurred by such Investor Indemnified Parties (including but not limited to legal and financial advisory fees and expenses) and other direct losses incurred thereby.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  Termination</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u w:val="single" w:color="auto"/>
          <w:color w:val="auto"/>
        </w:rPr>
        <w:t>Termination</w:t>
      </w:r>
    </w:p>
    <w:p>
      <w:pPr>
        <w:spacing w:after="0" w:line="225"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This Agreement may be terminated at any time prior to the Closing Date of the Transaction upon written notice delivered to the Parties in any of the following circumstances:</w:t>
      </w:r>
    </w:p>
    <w:p>
      <w:pPr>
        <w:spacing w:after="0" w:line="162" w:lineRule="exact"/>
        <w:rPr>
          <w:sz w:val="20"/>
          <w:szCs w:val="20"/>
          <w:color w:val="auto"/>
        </w:rPr>
      </w:pPr>
    </w:p>
    <w:p>
      <w:pPr>
        <w:jc w:val="both"/>
        <w:ind w:firstLine="1304"/>
        <w:spacing w:after="0" w:line="258" w:lineRule="auto"/>
        <w:tabs>
          <w:tab w:leader="none" w:pos="194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shall have the right to terminate this Agreement upon the occurrence of any of the following events: (i) any event or circumstance has occurred that has caused or would reasonably be expected to cause a Material Adverse Effect, or any of the conditions precedent to Closing set forth in Section 3.02 has become incapable of being satisfied and has not been waived by such Investor; (ii) any representation or warranty of the Seller set forth in this Agreement is untrue or inaccurate; (iii) any material breach by the Group Companies, the Management Shareholders (excluding Xinghan Zhilian) and/or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9" w:name="page340"/>
    <w:bookmarkEnd w:id="339"/>
    <w:p>
      <w:pPr>
        <w:jc w:val="both"/>
        <w:spacing w:after="0" w:line="258" w:lineRule="auto"/>
        <w:rPr>
          <w:sz w:val="20"/>
          <w:szCs w:val="20"/>
          <w:color w:val="auto"/>
        </w:rPr>
      </w:pPr>
      <w:r>
        <w:rPr>
          <w:rFonts w:ascii="Times New Roman" w:cs="Times New Roman" w:eastAsia="Times New Roman" w:hAnsi="Times New Roman"/>
          <w:sz w:val="18"/>
          <w:szCs w:val="18"/>
          <w:color w:val="auto"/>
        </w:rPr>
        <w:t>the Seller of any covenant or agreement set forth in this Agreement which is incapable of being cured; (iv) the Company makes a general assignment of assets for the benefit of creditors, or any legal proceeding is instituted by or against the Company seeking to commence criminal proceedings, bankruptcy or insolvency proceedings against the Company, or the Company becomes bankrupt, insolvent, subject to liquidation, deregistration, bankruptcy reorganization (including debt restructuring), or similar proceedings; or (v) any circumstance has occurred under which the Investors are entitled to terminate this Agreement pursuant to Section 8.03;</w:t>
      </w:r>
    </w:p>
    <w:p>
      <w:pPr>
        <w:spacing w:after="0" w:line="183" w:lineRule="exact"/>
        <w:rPr>
          <w:sz w:val="20"/>
          <w:szCs w:val="20"/>
          <w:color w:val="auto"/>
        </w:rPr>
      </w:pPr>
    </w:p>
    <w:p>
      <w:pPr>
        <w:ind w:left="1960" w:hanging="656"/>
        <w:spacing w:after="0"/>
        <w:tabs>
          <w:tab w:leader="none" w:pos="19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the right to terminate this Agreement in accordance with Section 8.03;</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of the Transaction has not occurred within ninety (90) days after the date of execution of this Agreement (“</w:t>
      </w:r>
      <w:r>
        <w:rPr>
          <w:rFonts w:ascii="Times New Roman" w:cs="Times New Roman" w:eastAsia="Times New Roman" w:hAnsi="Times New Roman"/>
          <w:sz w:val="18"/>
          <w:szCs w:val="18"/>
          <w:b w:val="1"/>
          <w:bCs w:val="1"/>
          <w:color w:val="auto"/>
        </w:rPr>
        <w:t>Long Stop Date</w:t>
      </w:r>
      <w:r>
        <w:rPr>
          <w:rFonts w:ascii="Times New Roman" w:cs="Times New Roman" w:eastAsia="Times New Roman" w:hAnsi="Times New Roman"/>
          <w:sz w:val="18"/>
          <w:szCs w:val="18"/>
          <w:color w:val="auto"/>
        </w:rPr>
        <w:t>”), either the Seller or the Investors may terminate this Agreement; provided, however, that if the failure of the Closing of the Transaction to occur on or prior to the Long Stop Date is caused by or results from any Party’s failure to perform any of its obligations under this Agreement and such failure has not been waived by the other Party, such Party shall not be entitled to terminate this Agreement pursuant to this Section 9.01(c) (for the avoidance of doubt, if the failure of the Closing of the Transaction to occur on or prior to the Long Stop Date is caused by or results from any failure by the Group Companies and/or the Management Shareholders (excluding Xinghan Zhilian) to perform any of their obligations under this Agreement, the Seller shall also not be entitled to terminate this Agreement pursuant to this Section 9.01(c));</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issues any order, decree or ruling, or takes any other action, that restrains, prohibits or otherwise prevents the transactions contemplated under this Agreement, and such order, decree, ruling or other action has become final and non-appealable;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written agreement of all Parties.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For the avoidance of doubt, where any Investor or the Seller elects to terminate this Agreement, such termination shall only terminate the rights and obligations under this Agreement among such Investor and the Seller and other relevant Parties, as well as the equity transfer transaction contemplated under this Agreement between such Investor and the Seller, and shall not affect the rights and obligations under this Agreement among any other Investor or the Seller and other relevant Parties (excluding the Party that has elected to terminate this Agreement), nor the equity transfer transaction contemplated under this Agreement between such other Investor and the Seller.</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Following termination of this Agreement pursuant to this Section, unless otherwise agreed by the Parties, each Party shall use reasonable commercial efforts to restore the rights and obligations among the Parties and the status of the Company to the status prior to the execution of the Transaction Documents. In particular, where, at the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0" w:name="page341"/>
    <w:bookmarkEnd w:id="340"/>
    <w:p>
      <w:pPr>
        <w:jc w:val="both"/>
        <w:spacing w:after="0" w:line="253" w:lineRule="auto"/>
        <w:rPr>
          <w:sz w:val="20"/>
          <w:szCs w:val="20"/>
          <w:color w:val="auto"/>
        </w:rPr>
      </w:pPr>
      <w:r>
        <w:rPr>
          <w:rFonts w:ascii="Times New Roman" w:cs="Times New Roman" w:eastAsia="Times New Roman" w:hAnsi="Times New Roman"/>
          <w:sz w:val="18"/>
          <w:szCs w:val="18"/>
          <w:color w:val="auto"/>
        </w:rPr>
        <w:t>of termination of this Agreement, any Investor has been registered with the registration authority as a shareholder of the Company or any person appointed by any Investor has been registered with the registration authority as a director of the Company, each Party shall cooperate in executing the necessary documents and completing the necessary procedures to restore the shareholding structure, composition of the board of directors and filing status of the articles of association of the Company to the status prior to the execution of this Agreement. Where, at the time of termination of this Agreement, any Investor has paid all or part of the applicable Transfer Consideration to the Seller, the Seller shall, within ten (10) Business Days after termination of this Agreement and after the composition of the board of directors, supervisors and senior officers of the Company, the shareholding registration and the filing of the articles of association have been restored to the status prior to the execution of this Agreement, refund to such Investor all amounts already paid by such Investor after deducting any unpaid liquidated damages (if any). For each day of delay, the Seller shall pay liquidated damages at a rate of 0.01% per day of the portion of the Transfer Consideration not refunded.</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 the Seller exercises its termination right under this Section 9.01, such termination decision made by the Seller shall be binding upon the Company, the Management Shareholders (excluding Xinghan Zhilian) and the Group Companies.</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Survival of Certain Provisions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this Agreement is terminated pursuant to Section 9.01, this Agreement shall become void immediately and none of the Parties shall have any further liability hereunder, except that: (a) Section 1 (Definitions), Section 6.04 (Use of Name), Section 6.07 (Confidentiality), Section 6.08 (Public Announcements), Section 7 (Tax Matters), Section 8 (Indemnification), this Section 9.02 (Survival of Certain Provisions), and Section 10 (Miscellaneous) shall survive such termination; and (b) no provision of this Agreement shall relieve any Party from liability arising from any breach of this Agreement occurring prior to such termination.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10  Miscellaneous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8"/>
          <w:szCs w:val="18"/>
          <w:u w:val="single" w:color="auto"/>
          <w:color w:val="auto"/>
        </w:rPr>
        <w:t>Expenses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Each Party agrees that it shall bear its own costs and expenses incurred in connection with the Transaction Documents and the transactions contemplated thereunder (including, without limitation, legal counsel fees).</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u w:val="single" w:color="auto"/>
          <w:color w:val="auto"/>
        </w:rPr>
        <w:t>Assignment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successors and assigns of the Parties. Without the prior written consent of the other Parties, no Party may assign its rights or obligations under this Agreement, except that any Investor may assign its rights and obligations to its Affiliates upon prior written notice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1" w:name="page342"/>
    <w:bookmarkEnd w:id="341"/>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10.03</w:t>
      </w:r>
      <w:r>
        <w:rPr>
          <w:sz w:val="20"/>
          <w:szCs w:val="20"/>
          <w:color w:val="auto"/>
        </w:rPr>
        <w:tab/>
      </w:r>
      <w:r>
        <w:rPr>
          <w:rFonts w:ascii="Times New Roman" w:cs="Times New Roman" w:eastAsia="Times New Roman" w:hAnsi="Times New Roman"/>
          <w:sz w:val="17"/>
          <w:szCs w:val="17"/>
          <w:u w:val="single" w:color="auto"/>
          <w:color w:val="auto"/>
        </w:rPr>
        <w:t>Entire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Transaction Documents and all other documents delivered pursuant thereto (including any related annexes, appendices and schedules) constitute the entire agreement and understanding among the Parties with respect to the subject matter thereof and supersede all prior written and oral agreements and undertakings among the Parties with respect to such subject matter.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 required for the purpose of completing registration procedures with relevant governmental authorities in connection with the Transaction, the Parties shall execute a simplified equity transfer agreement or other documents relating to the Transaction in the form required by such governmental authorities (“</w:t>
      </w:r>
      <w:r>
        <w:rPr>
          <w:rFonts w:ascii="Times New Roman" w:cs="Times New Roman" w:eastAsia="Times New Roman" w:hAnsi="Times New Roman"/>
          <w:sz w:val="18"/>
          <w:szCs w:val="18"/>
          <w:b w:val="1"/>
          <w:bCs w:val="1"/>
          <w:color w:val="auto"/>
        </w:rPr>
        <w:t>Short-form Agreement</w:t>
      </w:r>
      <w:r>
        <w:rPr>
          <w:rFonts w:ascii="Times New Roman" w:cs="Times New Roman" w:eastAsia="Times New Roman" w:hAnsi="Times New Roman"/>
          <w:sz w:val="18"/>
          <w:szCs w:val="18"/>
          <w:color w:val="auto"/>
        </w:rPr>
        <w:t>”). Such Short-form Agreement shall be used solely for submission to governmental authorities for the purpose of completing relevant registration and transaction procedures, and the agreements and allocation of rights and obligations among the Parties with respect to the Transaction shall be governed by this Agreement.</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If any provision or other stipulation of this Agreement is held to be invalid, illegal or unenforceable under any applicable law or public policy, all other provisions and stipulations of this Agreement shall remain in full force and effect, provided that the economic or legal substance of the transactions contemplated under this Agreement is not affected in any manner materially adverse to any Party. Upon any provision or stipulation being held invalid, illegal or unenforceable, the Parties shall negotiate in good faith to amend this Agreement in a manner that, to the extent acceptable to the Parties, best reflects the original intent of the Parties so as to consummate the transactions originally contemplated under this Agreement to the greatest extent possible.</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10.05</w:t>
      </w:r>
      <w:r>
        <w:rPr>
          <w:sz w:val="20"/>
          <w:szCs w:val="20"/>
          <w:color w:val="auto"/>
        </w:rPr>
        <w:tab/>
      </w:r>
      <w:r>
        <w:rPr>
          <w:rFonts w:ascii="Times New Roman" w:cs="Times New Roman" w:eastAsia="Times New Roman" w:hAnsi="Times New Roman"/>
          <w:sz w:val="17"/>
          <w:szCs w:val="17"/>
          <w:u w:val="single" w:color="auto"/>
          <w:color w:val="auto"/>
        </w:rPr>
        <w:t>Waiver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Any Party may: (a) extend the time for performance of any obligations or other acts of any other Party; (b) waive any inaccuracies in the representations and warranties made by any other Party contained in this Agreement or in any document delivered pursuant hereto; or (c) waive compliance by any other Party with any covenant contained in this Agreement or waive satisfaction of any condition to such Party’s obligations under this Agreement. Any such extension or waiver shall be effective only if set forth in a written instrument signed by the Party to be bound thereby. Any waiver of any provision or condition of this Agreement shall not be construed as a waiver of any subsequent breach of the same provision or condition, or as a waiver of the same provision or condition in the future, or as a waiver of any other provision or condition of this Agreement. The failure of any Party to exercise any right under this Agreement shall not constitute a waiver of such right. All rights and remedies provided under this Agreement are cumulative and not exclusive of any other rights or remedies available.</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10.06</w:t>
      </w:r>
      <w:r>
        <w:rPr>
          <w:sz w:val="20"/>
          <w:szCs w:val="20"/>
          <w:color w:val="auto"/>
        </w:rPr>
        <w:tab/>
      </w:r>
      <w:r>
        <w:rPr>
          <w:rFonts w:ascii="Times New Roman" w:cs="Times New Roman" w:eastAsia="Times New Roman" w:hAnsi="Times New Roman"/>
          <w:sz w:val="17"/>
          <w:szCs w:val="17"/>
          <w:u w:val="single" w:color="auto"/>
          <w:color w:val="auto"/>
        </w:rPr>
        <w:t>Effectiveness and Amendment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2" w:name="page343"/>
    <w:bookmarkEnd w:id="342"/>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upon execution or affixation of seals by the Parties. Any amendment to this Agreement shall be made in writing and shall become effective upon execution or affixation of seals by the Parties.</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10.07</w:t>
      </w:r>
      <w:r>
        <w:rPr>
          <w:sz w:val="20"/>
          <w:szCs w:val="20"/>
          <w:color w:val="auto"/>
        </w:rPr>
        <w:tab/>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jc w:val="both"/>
        <w:ind w:firstLine="1304"/>
        <w:spacing w:after="0" w:line="266" w:lineRule="auto"/>
        <w:tabs>
          <w:tab w:leader="none" w:pos="19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or other communications under this Agreement shall be made in writing (including by email) and shall be delivered, sent or mailed to the relevant Party at the address set forth in </w:t>
      </w:r>
      <w:r>
        <w:rPr>
          <w:rFonts w:ascii="Times New Roman" w:cs="Times New Roman" w:eastAsia="Times New Roman" w:hAnsi="Times New Roman"/>
          <w:sz w:val="18"/>
          <w:szCs w:val="18"/>
          <w:u w:val="single" w:color="auto"/>
          <w:color w:val="auto"/>
        </w:rPr>
        <w:t>Schedule K</w:t>
      </w:r>
      <w:r>
        <w:rPr>
          <w:rFonts w:ascii="Times New Roman" w:cs="Times New Roman" w:eastAsia="Times New Roman" w:hAnsi="Times New Roman"/>
          <w:sz w:val="18"/>
          <w:szCs w:val="18"/>
          <w:color w:val="auto"/>
        </w:rPr>
        <w:t xml:space="preserve"> to this Agreement (or such other address as notified in writing by the recipient to the other Parties at least ten (10) days in advance).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request or other communication delivered pursuant to this Section 10.07 shall be deemed duly given or delivered: (i) if delivered by hand, upon delivery to the address of the recipient specified in this Agreement; (ii) if sent by email, when the sender’s email system indicates successful delivery to the recipient’s email address on record; or (iii) if delivered by a nationally recognized courier service, on the third (3rd) day after delivery to such courier, provided that the correct recipient address and contact details have been completed and the courier fees have been fully prepaid.</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10.08</w:t>
      </w:r>
      <w:r>
        <w:rPr>
          <w:sz w:val="20"/>
          <w:szCs w:val="20"/>
          <w:color w:val="auto"/>
        </w:rPr>
        <w:tab/>
      </w: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and delivered in multiple counterparts, each of which shall be deemed an original, but all of which together shall constitute one and the same instrument.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10.09</w:t>
      </w:r>
      <w:r>
        <w:rPr>
          <w:sz w:val="20"/>
          <w:szCs w:val="20"/>
          <w:color w:val="auto"/>
        </w:rPr>
        <w:tab/>
      </w:r>
      <w:r>
        <w:rPr>
          <w:rFonts w:ascii="Times New Roman" w:cs="Times New Roman" w:eastAsia="Times New Roman" w:hAnsi="Times New Roman"/>
          <w:sz w:val="18"/>
          <w:szCs w:val="18"/>
          <w:u w:val="single" w:color="auto"/>
          <w:color w:val="auto"/>
        </w:rPr>
        <w:t>Force Majeure</w:t>
      </w:r>
    </w:p>
    <w:p>
      <w:pPr>
        <w:spacing w:after="0" w:line="225" w:lineRule="exact"/>
        <w:rPr>
          <w:sz w:val="20"/>
          <w:szCs w:val="20"/>
          <w:color w:val="auto"/>
        </w:rPr>
      </w:pPr>
    </w:p>
    <w:p>
      <w:pPr>
        <w:jc w:val="both"/>
        <w:ind w:firstLine="1304"/>
        <w:spacing w:after="0" w:line="258" w:lineRule="auto"/>
        <w:tabs>
          <w:tab w:leader="none" w:pos="19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Force Majeure Event means any event that is unforeseeable at the time of execution of this Agreement, the occurrence of which is unavoidable or the consequences of which are insurmountable, and which results in any Party being partially or wholly unable to perform any provision of this Agreement, including earthquakes, typhoons, floods, fires, wars, changes in laws, and any other similar events that are unforeseeable, unavoidable or insurmountable, including events generally recognized as force majeure under international commercial practice.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Force Majeure Event, the Party whose performance is affected may suspend performance of its obligations under this Agreement during the continuance of such Force Majeure Event and shall not be deemed in breach of this Agreement; provided that such affected Party shall promptly notify the other Parties in writing as soon as practicable and shall provide, within fifteen (15) days, supporting documents evidencing the occurrence and/or continuation of such Force Majeure Event in accordance with Applicable law; otherwise, such event shall not be deemed a Force Majeure Event.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0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Force Majeure Event, the Parties shall promptly consult with each other in good faith to seek a fair and reasonable solution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t>shall use all reasonable efforts to mitigate the adverse effects of such Force Majeure Event on the performance of this Agreement.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10.10</w:t>
      </w:r>
      <w:r>
        <w:rPr>
          <w:sz w:val="20"/>
          <w:szCs w:val="20"/>
          <w:color w:val="auto"/>
        </w:rPr>
        <w:tab/>
      </w:r>
      <w:r>
        <w:rPr>
          <w:rFonts w:ascii="Times New Roman" w:cs="Times New Roman" w:eastAsia="Times New Roman" w:hAnsi="Times New Roman"/>
          <w:sz w:val="18"/>
          <w:szCs w:val="18"/>
          <w:u w:val="single" w:color="auto"/>
          <w:color w:val="auto"/>
        </w:rPr>
        <w:t>Governing Law; Dispute Resolution</w:t>
      </w:r>
    </w:p>
    <w:p>
      <w:pPr>
        <w:spacing w:after="0" w:line="225" w:lineRule="exact"/>
        <w:rPr>
          <w:sz w:val="20"/>
          <w:szCs w:val="20"/>
          <w:color w:val="auto"/>
        </w:rPr>
      </w:pPr>
    </w:p>
    <w:p>
      <w:pPr>
        <w:jc w:val="both"/>
        <w:ind w:firstLine="1304"/>
        <w:spacing w:after="0" w:line="266" w:lineRule="auto"/>
        <w:tabs>
          <w:tab w:leader="none" w:pos="200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the laws of the PRC. The formation, validity, interpretation and performance of this Agreement and the resolution of any disputes arising hereunder shall be governed by the laws of the PRC. If the laws of the PRC contain no relevant provisions, general international commercial practices shall apply.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2"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or claim arising out of or in connection with this Agreement, including its performance, interpretation, breach, termination or validity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first be resolved through friendly consultation among the Parties to the Dispute. If the Dispute cannot be resolved through consultation, any Party to the Dispute may submit the Dispute to the people’s court with competent jurisdiction at the place where the Company is located.</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10.11</w:t>
      </w:r>
      <w:r>
        <w:rPr>
          <w:sz w:val="20"/>
          <w:szCs w:val="20"/>
          <w:color w:val="auto"/>
        </w:rPr>
        <w:tab/>
      </w:r>
      <w:r>
        <w:rPr>
          <w:rFonts w:ascii="Times New Roman" w:cs="Times New Roman" w:eastAsia="Times New Roman" w:hAnsi="Times New Roman"/>
          <w:sz w:val="17"/>
          <w:szCs w:val="17"/>
          <w:u w:val="single" w:color="auto"/>
          <w:color w:val="auto"/>
        </w:rPr>
        <w:t>Remedies for Breach</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Parties agree that where remedies for breach of obligations under this Agreement include both specific performance and monetary damages, the non-breaching Party (or the non-breaching Parties jointly, where there is more than one non-breaching Party) shall have the right to elect the form of remedy.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10.12</w:t>
      </w:r>
      <w:r>
        <w:rPr>
          <w:sz w:val="20"/>
          <w:szCs w:val="20"/>
          <w:color w:val="auto"/>
        </w:rPr>
        <w:tab/>
      </w:r>
      <w:r>
        <w:rPr>
          <w:rFonts w:ascii="Times New Roman" w:cs="Times New Roman" w:eastAsia="Times New Roman" w:hAnsi="Times New Roman"/>
          <w:sz w:val="18"/>
          <w:szCs w:val="18"/>
          <w:u w:val="single" w:color="auto"/>
          <w:color w:val="auto"/>
        </w:rPr>
        <w:t>Language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Agreement is executed in the Chinese language.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Shenzhen Onething Technology Co., Ltd.</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 Hao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17145</wp:posOffset>
            </wp:positionV>
            <wp:extent cx="31629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Liu Yingqiao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By:/s/ Liu Yingqiao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Wu Lei</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By:/s/ Wu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17145</wp:posOffset>
            </wp:positionV>
            <wp:extent cx="31718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Shenzhen Shuijing Interactive Technology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Shenzhen Qianhai Onething Network Technology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Name:Yingqiao Liu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2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Beijing Onething Technology Co., Ltd.</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Jiangxi Jiedian Technology Service Co., Ltd.</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Name:Yingqiao Liu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Xi’an Onething Network Technology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1">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Name:Yingqiao Liu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Shanghai Onething Technology Co., Ltd.</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Name:Yingqiao Liu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Shenzhen Jiuzhang Qidian Technology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5">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Name:Yingqiao Liu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Shenzhen Xunlei Networking Technologies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color w:val="auto"/>
        </w:rPr>
        <w:t>IN WITNESS WHEREOF, the Parties have duly executed this Agreement 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Wuhan Kingsoft Cloud Information Technology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(Company Seal)</w:t>
      </w:r>
    </w:p>
    <w:p>
      <w:pPr>
        <w:spacing w:after="0" w:line="200" w:lineRule="exact"/>
        <w:rPr>
          <w:sz w:val="20"/>
          <w:szCs w:val="20"/>
          <w:color w:val="auto"/>
        </w:rPr>
      </w:pPr>
    </w:p>
    <w:p>
      <w:pPr>
        <w:spacing w:after="0" w:line="219"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b w:val="1"/>
          <w:bCs w:val="1"/>
          <w:color w:val="auto"/>
        </w:rPr>
        <w:t>By:</w:t>
        <w:tab/>
        <w:t>/s/ Zou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19685</wp:posOffset>
            </wp:positionV>
            <wp:extent cx="30175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Name:Zou Tao</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w:t>
      </w:r>
      <w:r>
        <w:rPr>
          <w:rFonts w:ascii="Times New Roman" w:cs="Times New Roman" w:eastAsia="Times New Roman" w:hAnsi="Times New Roman"/>
          <w:sz w:val="18"/>
          <w:szCs w:val="18"/>
          <w:color w:val="auto"/>
        </w:rPr>
        <w:t>have duly executed</w:t>
      </w:r>
      <w:r>
        <w:rPr>
          <w:rFonts w:ascii="Times New Roman" w:cs="Times New Roman" w:eastAsia="Times New Roman" w:hAnsi="Times New Roman"/>
          <w:sz w:val="18"/>
          <w:szCs w:val="18"/>
          <w:b w:val="1"/>
          <w:bCs w:val="1"/>
          <w:color w:val="auto"/>
        </w:rPr>
        <w:t xml:space="preserve"> this Agreement </w:t>
      </w:r>
      <w:r>
        <w:rPr>
          <w:rFonts w:ascii="Times New Roman" w:cs="Times New Roman" w:eastAsia="Times New Roman" w:hAnsi="Times New Roman"/>
          <w:sz w:val="18"/>
          <w:szCs w:val="18"/>
          <w:color w:val="auto"/>
        </w:rPr>
        <w:t>as of the date first written above.</w:t>
      </w:r>
    </w:p>
    <w:p>
      <w:pPr>
        <w:spacing w:after="0" w:line="2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Shenzhen Xinghan Zhilian Technology Co.,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ind w:left="466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17145</wp:posOffset>
            </wp:positionV>
            <wp:extent cx="302577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Name:Li Hao</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of Shenzhen Onething Technology Co., Ltd.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58" w:name="page359"/>
    <w:bookmarkEnd w:id="358"/>
    <w:p>
      <w:pPr>
        <w:ind w:left="3020"/>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Annex 1</w:t>
      </w:r>
      <w:r>
        <w:rPr>
          <w:sz w:val="20"/>
          <w:szCs w:val="20"/>
          <w:color w:val="auto"/>
        </w:rPr>
        <w:tab/>
      </w:r>
      <w:r>
        <w:rPr>
          <w:rFonts w:ascii="Times New Roman" w:cs="Times New Roman" w:eastAsia="Times New Roman" w:hAnsi="Times New Roman"/>
          <w:sz w:val="17"/>
          <w:szCs w:val="17"/>
          <w:b w:val="1"/>
          <w:bCs w:val="1"/>
          <w:color w:val="auto"/>
        </w:rPr>
        <w:t>List of Group Companies</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359" w:name="page360"/>
    <w:bookmarkEnd w:id="359"/>
    <w:p>
      <w:pPr>
        <w:ind w:left="148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Schedule A</w:t>
      </w:r>
      <w:r>
        <w:rPr>
          <w:sz w:val="20"/>
          <w:szCs w:val="20"/>
          <w:color w:val="auto"/>
        </w:rPr>
        <w:tab/>
      </w:r>
      <w:r>
        <w:rPr>
          <w:rFonts w:ascii="Times New Roman" w:cs="Times New Roman" w:eastAsia="Times New Roman" w:hAnsi="Times New Roman"/>
          <w:sz w:val="17"/>
          <w:szCs w:val="17"/>
          <w:b w:val="1"/>
          <w:bCs w:val="1"/>
          <w:color w:val="auto"/>
        </w:rPr>
        <w:t>Basic Information of the Company and Existing Shareholders</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360" w:name="page361"/>
    <w:bookmarkEnd w:id="360"/>
    <w:p>
      <w:pPr>
        <w:ind w:left="8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Schedule B</w:t>
      </w:r>
      <w:r>
        <w:rPr>
          <w:sz w:val="20"/>
          <w:szCs w:val="20"/>
          <w:color w:val="auto"/>
        </w:rPr>
        <w:tab/>
      </w:r>
      <w:r>
        <w:rPr>
          <w:rFonts w:ascii="Times New Roman" w:cs="Times New Roman" w:eastAsia="Times New Roman" w:hAnsi="Times New Roman"/>
          <w:sz w:val="17"/>
          <w:szCs w:val="17"/>
          <w:b w:val="1"/>
          <w:bCs w:val="1"/>
          <w:color w:val="auto"/>
        </w:rPr>
        <w:t>Capitalization Table of the Company as of the Closing Date of the Transaction</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916305</wp:posOffset>
            </wp:positionV>
            <wp:extent cx="629221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361" w:name="page362"/>
    <w:bookmarkEnd w:id="361"/>
    <w:p>
      <w:pPr>
        <w:jc w:val="center"/>
        <w:spacing w:after="0"/>
        <w:rPr>
          <w:sz w:val="20"/>
          <w:szCs w:val="20"/>
          <w:color w:val="auto"/>
        </w:rPr>
      </w:pPr>
      <w:r>
        <w:rPr>
          <w:rFonts w:ascii="Times New Roman" w:cs="Times New Roman" w:eastAsia="Times New Roman" w:hAnsi="Times New Roman"/>
          <w:sz w:val="17"/>
          <w:szCs w:val="17"/>
          <w:b w:val="1"/>
          <w:bCs w:val="1"/>
          <w:color w:val="auto"/>
        </w:rPr>
        <w:t>Schedule C</w:t>
      </w:r>
    </w:p>
    <w:p>
      <w:pPr>
        <w:sectPr>
          <w:pgSz w:w="11900" w:h="16838" w:orient="portrait"/>
          <w:cols w:equalWidth="0" w:num="1">
            <w:col w:w="9019"/>
          </w:cols>
          <w:pgMar w:left="1440" w:top="873"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Schedule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3" w:name="page364"/>
    <w:bookmarkEnd w:id="3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Closing Certificate for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4" w:name="page365"/>
    <w:bookmarkEnd w:id="3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Closing Payment Notice for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Register of Shareholders of Shenzhen Onething Technology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1183005</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6" w:name="page367"/>
    <w:bookmarkEnd w:id="3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Capital Contribution Certificate of Shenzhen Onething Technology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7" w:name="page368"/>
    <w:bookmarkEnd w:id="3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8"/>
          <w:szCs w:val="18"/>
          <w:b w:val="1"/>
          <w:bCs w:val="1"/>
          <w:color w:val="auto"/>
        </w:rPr>
        <w:t>Schedule I-2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Management Shareholders (excluding Xinghan Zhilian) and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908685</wp:posOffset>
            </wp:positionV>
            <wp:extent cx="629221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80"/>
          </w:cols>
          <w:pgMar w:left="1400" w:top="873" w:right="1419" w:bottom="1440" w:gutter="0" w:footer="0" w:header="0"/>
        </w:sectPr>
      </w:pPr>
    </w:p>
    <w:bookmarkStart w:id="369" w:name="page370"/>
    <w:bookmarkEnd w:id="3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J</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70" w:name="page371"/>
    <w:bookmarkEnd w:id="3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Handover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72" w:name="page373"/>
    <w:bookmarkEnd w:id="372"/>
    <w:p>
      <w:pPr>
        <w:jc w:val="center"/>
        <w:ind w:right="-432"/>
        <w:spacing w:after="0"/>
        <w:rPr>
          <w:sz w:val="20"/>
          <w:szCs w:val="20"/>
          <w:color w:val="auto"/>
        </w:rPr>
      </w:pPr>
      <w:r>
        <w:rPr>
          <w:rFonts w:ascii="Times New Roman" w:cs="Times New Roman" w:eastAsia="Times New Roman" w:hAnsi="Times New Roman"/>
          <w:sz w:val="18"/>
          <w:szCs w:val="18"/>
          <w:b w:val="1"/>
          <w:bCs w:val="1"/>
          <w:color w:val="auto"/>
        </w:rPr>
        <w:t>Schedule M</w:t>
      </w:r>
    </w:p>
    <w:p>
      <w:pPr>
        <w:spacing w:after="0" w:line="225" w:lineRule="exact"/>
        <w:rPr>
          <w:sz w:val="20"/>
          <w:szCs w:val="20"/>
          <w:color w:val="auto"/>
        </w:rPr>
      </w:pPr>
    </w:p>
    <w:p>
      <w:pPr>
        <w:ind w:left="512" w:hanging="512"/>
        <w:spacing w:after="0"/>
        <w:tabs>
          <w:tab w:leader="none" w:pos="512"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Contract</w:t>
      </w:r>
    </w:p>
    <w:p>
      <w:pPr>
        <w:spacing w:after="0" w:line="225"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Agreement</w:t>
      </w:r>
    </w:p>
    <w:p>
      <w:pPr>
        <w:spacing w:after="0" w:line="225"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3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Non-Compete Agreement and Intellectual Property Ownership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Schedule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634365</wp:posOffset>
            </wp:positionV>
            <wp:extent cx="629221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873" w:right="1440"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8"/>
          <w:szCs w:val="18"/>
          <w:b w:val="1"/>
          <w:bCs w:val="1"/>
          <w:color w:val="auto"/>
        </w:rPr>
        <w:t>Exhibit 4.33</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158115</wp:posOffset>
            </wp:positionV>
            <wp:extent cx="62922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ONETHING TECHNOLOGY CO., LTD.</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173990</wp:posOffset>
            </wp:positionV>
            <wp:extent cx="62922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Xunlei Networking Technologies Co., Ltd.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Wuhan Kingsoft Cloud Information Technology Co., Ltd.</w:t>
      </w: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Xinghan Zhilian Technology Co., Ltd.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Shenzhen Onething Technology Co., Ltd.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other relevant parties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Dated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636905</wp:posOffset>
            </wp:positionV>
            <wp:extent cx="629221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98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060" w:type="dxa"/>
            <w:vAlign w:val="bottom"/>
          </w:tcPr>
          <w:p>
            <w:pPr>
              <w:spacing w:after="0"/>
              <w:rPr>
                <w:sz w:val="20"/>
                <w:szCs w:val="20"/>
                <w:color w:val="auto"/>
              </w:rPr>
            </w:pPr>
          </w:p>
        </w:tc>
      </w:tr>
      <w:tr>
        <w:trPr>
          <w:trHeight w:val="56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Definitions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Interpretation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Basic Information of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Name and Registered Address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Limited Liability Company</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Scope of Business</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Principal Business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Register of Shareholders and Applicability to New Shareholders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Register of Shareholders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Applicability to New Shareholders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Equity Transfer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Restrictions on Equity Transfer and CEO Right of First Refusal</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Investor Right of First Refusal</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4.3</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Co-Sale Right</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General Provisions Relating to Equity Transfers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Special Shareholder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Pre-emptive Subscription Right</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Anti-Dilution Right</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Liquidation Preference</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5.4</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Repurchase Right</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5.5</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Equity Incentive Plan</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25</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Applicability of Preferential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Shareholders’ Meeting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Powers of the Shareholders’ Meeting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Procedures of Shareholders’ Meetings</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27</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Voting at Shareholders’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Composition of the Board of Directors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Powers of the Board of Directors</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7.3</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Procedures of Board Meetings</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Board Resolutions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Supervisor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Composition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Term of Office</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32</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Powers of the Supervisor</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Audit Rights, Information Rights and Inspection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98"/>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Audit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16"/>
        </w:trPr>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9.2</w:t>
            </w:r>
          </w:p>
        </w:tc>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Information Rights</w:t>
            </w:r>
          </w:p>
        </w:tc>
        <w:tc>
          <w:tcPr>
            <w:tcW w:w="2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33</w:t>
            </w:r>
          </w:p>
        </w:tc>
      </w:tr>
      <w:tr>
        <w:trPr>
          <w:trHeight w:val="244"/>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Inspection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32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Section 10</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Profit Distribution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326"/>
        </w:trPr>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Distribution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117" w:right="99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3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Section 11 ​​​Full-Time Employment and Non-Competition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98"/>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Full-Time Employment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Non-Competition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32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Section 12</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Dissolution and Liquidation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w:t>
            </w:r>
          </w:p>
        </w:tc>
      </w:tr>
      <w:tr>
        <w:trPr>
          <w:trHeight w:val="30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 Events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 Resolution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Liquidation Committee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of Proceeds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Completion of Liquidation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Section 13</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Liability for Breach</w:t>
            </w:r>
          </w:p>
        </w:tc>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38</w:t>
            </w:r>
          </w:p>
        </w:tc>
      </w:tr>
      <w:tr>
        <w:trPr>
          <w:trHeight w:val="32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Provisions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322"/>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Section 14</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98"/>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Name</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Dispute Resolution</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and Supplements</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of Association</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Language and Text</w:t>
            </w:r>
          </w:p>
        </w:tc>
        <w:tc>
          <w:tcPr>
            <w:tcW w:w="27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r>
      <w:tr>
        <w:trPr>
          <w:trHeight w:val="24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Effectiveness</w:t>
            </w:r>
          </w:p>
        </w:tc>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131" w:right="999" w:bottom="1440" w:gutter="0" w:footer="0" w:header="0"/>
        </w:sectPr>
      </w:pPr>
    </w:p>
    <w:bookmarkStart w:id="376" w:name="page377"/>
    <w:bookmarkEnd w:id="376"/>
    <w:p>
      <w:pPr>
        <w:jc w:val="both"/>
        <w:ind w:firstLine="324"/>
        <w:spacing w:after="0" w:line="255" w:lineRule="auto"/>
        <w:rPr>
          <w:sz w:val="20"/>
          <w:szCs w:val="20"/>
          <w:color w:val="auto"/>
        </w:rPr>
      </w:pPr>
      <w:r>
        <w:rPr>
          <w:rFonts w:ascii="Times New Roman" w:cs="Times New Roman" w:eastAsia="Times New Roman" w:hAnsi="Times New Roman"/>
          <w:sz w:val="20"/>
          <w:szCs w:val="20"/>
          <w:color w:val="auto"/>
        </w:rPr>
        <w:t>This Shareholders’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on March 3, 2026 by and among the following parties in the People’s Republic of China (“</w:t>
      </w:r>
      <w:r>
        <w:rPr>
          <w:rFonts w:ascii="Times New Roman" w:cs="Times New Roman" w:eastAsia="Times New Roman" w:hAnsi="Times New Roman"/>
          <w:sz w:val="20"/>
          <w:szCs w:val="20"/>
          <w:b w:val="1"/>
          <w:bCs w:val="1"/>
          <w:color w:val="auto"/>
        </w:rPr>
        <w:t>PRC</w:t>
      </w:r>
      <w:r>
        <w:rPr>
          <w:rFonts w:ascii="Times New Roman" w:cs="Times New Roman" w:eastAsia="Times New Roman" w:hAnsi="Times New Roman"/>
          <w:sz w:val="20"/>
          <w:szCs w:val="20"/>
          <w:color w:val="auto"/>
        </w:rPr>
        <w:t>,” for the purposes of this Agreement only, excluding the Hong Kong Special Administrative Region, the Macao Special Administrative Region, and Taiwan region):</w:t>
      </w:r>
    </w:p>
    <w:p>
      <w:pPr>
        <w:spacing w:after="0" w:line="175" w:lineRule="exact"/>
        <w:rPr>
          <w:sz w:val="20"/>
          <w:szCs w:val="20"/>
          <w:color w:val="auto"/>
        </w:rPr>
      </w:pPr>
    </w:p>
    <w:p>
      <w:pPr>
        <w:jc w:val="both"/>
        <w:ind w:firstLine="332"/>
        <w:spacing w:after="0" w:line="274"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Shenzhen Onething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limited liability company duly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under the laws of the PRC, with its registered address at Room 0610-E13, Port Building, Maritime Center, No. 59 Linhai Avenue, Nanshan Subdistrict, Qianhai Shenzhen-Hongkong Modern Service Industry Cooperation Zone, Shenzhen;</w:t>
      </w:r>
    </w:p>
    <w:p>
      <w:pPr>
        <w:spacing w:after="0" w:line="156" w:lineRule="exact"/>
        <w:rPr>
          <w:rFonts w:ascii="Times New Roman" w:cs="Times New Roman" w:eastAsia="Times New Roman" w:hAnsi="Times New Roman"/>
          <w:sz w:val="18"/>
          <w:szCs w:val="18"/>
          <w:color w:val="auto"/>
        </w:rPr>
      </w:pPr>
    </w:p>
    <w:p>
      <w:pPr>
        <w:ind w:right="20" w:firstLine="332"/>
        <w:spacing w:after="0" w:line="286"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 Hao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PRC citizen, ID No. ******************, residing at Room 10, Unit 6, 4th Floor, Building 2, Courtyard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4, Yumin Road, Chaoyang District, Beijing;</w:t>
      </w:r>
    </w:p>
    <w:p>
      <w:pPr>
        <w:spacing w:after="0" w:line="154" w:lineRule="exact"/>
        <w:rPr>
          <w:rFonts w:ascii="Times New Roman" w:cs="Times New Roman" w:eastAsia="Times New Roman" w:hAnsi="Times New Roman"/>
          <w:sz w:val="18"/>
          <w:szCs w:val="18"/>
          <w:color w:val="auto"/>
        </w:rPr>
      </w:pPr>
    </w:p>
    <w:p>
      <w:pPr>
        <w:ind w:firstLine="332"/>
        <w:spacing w:after="0" w:line="286"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 Jinbo, </w:t>
      </w:r>
      <w:r>
        <w:rPr>
          <w:rFonts w:ascii="Times New Roman" w:cs="Times New Roman" w:eastAsia="Times New Roman" w:hAnsi="Times New Roman"/>
          <w:sz w:val="18"/>
          <w:szCs w:val="18"/>
          <w:color w:val="auto"/>
        </w:rPr>
        <w:t>a PRC citizen, ID No. ******************, residing at 21/F, Xunlei Building, No. 3709 Baishi Road, Yuehai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Subdistrict, Nanshan District, Shenzhen;</w:t>
      </w:r>
    </w:p>
    <w:p>
      <w:pPr>
        <w:spacing w:after="0" w:line="154" w:lineRule="exact"/>
        <w:rPr>
          <w:rFonts w:ascii="Times New Roman" w:cs="Times New Roman" w:eastAsia="Times New Roman" w:hAnsi="Times New Roman"/>
          <w:sz w:val="18"/>
          <w:szCs w:val="18"/>
          <w:color w:val="auto"/>
        </w:rPr>
      </w:pPr>
    </w:p>
    <w:p>
      <w:pPr>
        <w:ind w:firstLine="332"/>
        <w:spacing w:after="0" w:line="286"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Zhang Yubo, </w:t>
      </w:r>
      <w:r>
        <w:rPr>
          <w:rFonts w:ascii="Times New Roman" w:cs="Times New Roman" w:eastAsia="Times New Roman" w:hAnsi="Times New Roman"/>
          <w:sz w:val="18"/>
          <w:szCs w:val="18"/>
          <w:color w:val="auto"/>
        </w:rPr>
        <w:t>a PRC citizen, ID No. ******************, residing at 21/F, Xunlei Building, No. 3709 Baishi Road, Yuehai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Subdistrict, Nanshan District, Shenzhen;</w:t>
      </w:r>
    </w:p>
    <w:p>
      <w:pPr>
        <w:spacing w:after="0" w:line="154" w:lineRule="exact"/>
        <w:rPr>
          <w:rFonts w:ascii="Times New Roman" w:cs="Times New Roman" w:eastAsia="Times New Roman" w:hAnsi="Times New Roman"/>
          <w:sz w:val="18"/>
          <w:szCs w:val="18"/>
          <w:color w:val="auto"/>
        </w:rPr>
      </w:pPr>
    </w:p>
    <w:p>
      <w:pPr>
        <w:ind w:firstLine="332"/>
        <w:spacing w:after="0" w:line="286"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Liu Yingqiao, </w:t>
      </w:r>
      <w:r>
        <w:rPr>
          <w:rFonts w:ascii="Times New Roman" w:cs="Times New Roman" w:eastAsia="Times New Roman" w:hAnsi="Times New Roman"/>
          <w:sz w:val="18"/>
          <w:szCs w:val="18"/>
          <w:color w:val="auto"/>
        </w:rPr>
        <w:t>a PRC citizen, ID No. ******************, residing at 7-8/F, Building 11, Shenzhen Software Park,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Gaoxin Zhongsan Road, Nanshan District, Shenzhen;</w:t>
      </w:r>
    </w:p>
    <w:p>
      <w:pPr>
        <w:spacing w:after="0" w:line="154" w:lineRule="exact"/>
        <w:rPr>
          <w:rFonts w:ascii="Times New Roman" w:cs="Times New Roman" w:eastAsia="Times New Roman" w:hAnsi="Times New Roman"/>
          <w:sz w:val="18"/>
          <w:szCs w:val="18"/>
          <w:color w:val="auto"/>
        </w:rPr>
      </w:pPr>
    </w:p>
    <w:p>
      <w:pPr>
        <w:ind w:firstLine="332"/>
        <w:spacing w:after="0" w:line="286"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Wu Lei, </w:t>
      </w:r>
      <w:r>
        <w:rPr>
          <w:rFonts w:ascii="Times New Roman" w:cs="Times New Roman" w:eastAsia="Times New Roman" w:hAnsi="Times New Roman"/>
          <w:sz w:val="18"/>
          <w:szCs w:val="18"/>
          <w:color w:val="auto"/>
        </w:rPr>
        <w:t>a PRC citizen, ID No. ******************, residing at No. 20110401, Talent Service Center, No. 73 Xisihuan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Haidian District, Beijing; (together with Li Hao and Liu Yingqiao, “</w:t>
      </w:r>
      <w:r>
        <w:rPr>
          <w:rFonts w:ascii="Times New Roman" w:cs="Times New Roman" w:eastAsia="Times New Roman" w:hAnsi="Times New Roman"/>
          <w:sz w:val="18"/>
          <w:szCs w:val="18"/>
          <w:b w:val="1"/>
          <w:bCs w:val="1"/>
          <w:color w:val="auto"/>
        </w:rPr>
        <w:t>Key Management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332"/>
        <w:spacing w:after="0" w:line="268"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Nanjing Kehui Zhitu Information Technology Partnership (Limited Partnership)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Nanjing Kehui</w:t>
      </w:r>
      <w:r>
        <w:rPr>
          <w:rFonts w:ascii="Times New Roman" w:cs="Times New Roman" w:eastAsia="Times New Roman" w:hAnsi="Times New Roman"/>
          <w:sz w:val="18"/>
          <w:szCs w:val="18"/>
          <w:color w:val="auto"/>
        </w:rPr>
        <w:t>”), a limited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established and validly existing under the laws of the PRC, with its registered address at Room 8007, Sci-Tech Innovation Center, Shiqiu Subdistrict, Lishui District, Nanjing, Jiangsu Province;</w:t>
      </w:r>
    </w:p>
    <w:p>
      <w:pPr>
        <w:spacing w:after="0" w:line="170" w:lineRule="exact"/>
        <w:rPr>
          <w:rFonts w:ascii="Times New Roman" w:cs="Times New Roman" w:eastAsia="Times New Roman" w:hAnsi="Times New Roman"/>
          <w:sz w:val="18"/>
          <w:szCs w:val="18"/>
          <w:color w:val="auto"/>
        </w:rPr>
      </w:pPr>
    </w:p>
    <w:p>
      <w:pPr>
        <w:jc w:val="both"/>
        <w:ind w:firstLine="332"/>
        <w:spacing w:after="0" w:line="268"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Nanjing Yimang Yuelian Information Technology Partnership (Limited Partnership)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Nanjing Yimang</w:t>
      </w:r>
      <w:r>
        <w:rPr>
          <w:rFonts w:ascii="Times New Roman" w:cs="Times New Roman" w:eastAsia="Times New Roman" w:hAnsi="Times New Roman"/>
          <w:sz w:val="18"/>
          <w:szCs w:val="18"/>
          <w:color w:val="auto"/>
        </w:rPr>
        <w:t>”), 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duly established and validly existing under the laws of the PRC, with its registered address at Room 8009, Sci-Tech Innovation Center, Shiqiu Subdistrict, Lishui District, Nanjing, Jiangsu Province;</w:t>
      </w:r>
    </w:p>
    <w:p>
      <w:pPr>
        <w:spacing w:after="0" w:line="170" w:lineRule="exact"/>
        <w:rPr>
          <w:rFonts w:ascii="Times New Roman" w:cs="Times New Roman" w:eastAsia="Times New Roman" w:hAnsi="Times New Roman"/>
          <w:sz w:val="18"/>
          <w:szCs w:val="18"/>
          <w:color w:val="auto"/>
        </w:rPr>
      </w:pPr>
    </w:p>
    <w:p>
      <w:pPr>
        <w:jc w:val="both"/>
        <w:ind w:firstLine="332"/>
        <w:spacing w:after="0" w:line="268"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Nanjing Yuxin Jike Information Technology Partnership (Limited Partnership)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Nanjing Yuxin</w:t>
      </w:r>
      <w:r>
        <w:rPr>
          <w:rFonts w:ascii="Times New Roman" w:cs="Times New Roman" w:eastAsia="Times New Roman" w:hAnsi="Times New Roman"/>
          <w:sz w:val="18"/>
          <w:szCs w:val="18"/>
          <w:color w:val="auto"/>
        </w:rPr>
        <w:t>”), a limited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established and validly existing under the laws of the PRC, with its registered address at Room 8006, Sci-Tech Innovation Center, Shiqiu Subdistrict, Lishui District, Nanjing, Jiangsu Province;</w:t>
      </w:r>
    </w:p>
    <w:p>
      <w:pPr>
        <w:spacing w:after="0" w:line="166" w:lineRule="exact"/>
        <w:rPr>
          <w:rFonts w:ascii="Times New Roman" w:cs="Times New Roman" w:eastAsia="Times New Roman" w:hAnsi="Times New Roman"/>
          <w:sz w:val="18"/>
          <w:szCs w:val="18"/>
          <w:color w:val="auto"/>
        </w:rPr>
      </w:pPr>
    </w:p>
    <w:p>
      <w:pPr>
        <w:jc w:val="both"/>
        <w:ind w:firstLine="332"/>
        <w:spacing w:after="0" w:line="258" w:lineRule="auto"/>
        <w:tabs>
          <w:tab w:leader="none" w:pos="6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Nanjing Zhihui Yuandong Information Technology Partnership (Limited Partnership)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Nanjing Zhihui</w:t>
      </w:r>
      <w:r>
        <w:rPr>
          <w:rFonts w:ascii="Times New Roman" w:cs="Times New Roman" w:eastAsia="Times New Roman" w:hAnsi="Times New Roman"/>
          <w:sz w:val="17"/>
          <w:szCs w:val="17"/>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limited partnership duly established and validly existing under the laws of the PRC, with its registered address at Room 8008, Sci-Tech Innovation Center, Shiqiu Subdistrict, Lishui District, Nanjing, Jiangsu Province;</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Nanjing Zhongzhi Gongchuang Information Technology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77" w:name="page378"/>
    <w:bookmarkEnd w:id="377"/>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(Limited Partnership)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Nanjing Zhongzhi</w:t>
      </w:r>
      <w:r>
        <w:rPr>
          <w:rFonts w:ascii="Times New Roman" w:cs="Times New Roman" w:eastAsia="Times New Roman" w:hAnsi="Times New Roman"/>
          <w:sz w:val="18"/>
          <w:szCs w:val="18"/>
          <w:color w:val="auto"/>
        </w:rPr>
        <w:t>”), a limited partnership duly established and validly existing under the laws of the PRC,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registered address at Room 8002, Sci-Tech Innovation Center, Shiqiu Subdistrict, Lishui District, Nanjing, Jiangsu Province;</w:t>
      </w:r>
    </w:p>
    <w:p>
      <w:pPr>
        <w:spacing w:after="0" w:line="151" w:lineRule="exact"/>
        <w:rPr>
          <w:sz w:val="20"/>
          <w:szCs w:val="20"/>
          <w:color w:val="auto"/>
        </w:rPr>
      </w:pPr>
    </w:p>
    <w:p>
      <w:pPr>
        <w:ind w:left="660" w:hanging="328"/>
        <w:spacing w:after="0"/>
        <w:tabs>
          <w:tab w:leader="none" w:pos="6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entities listed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2"/>
          <w:szCs w:val="22"/>
          <w:i w:val="1"/>
          <w:iCs w:val="1"/>
          <w:color w:val="auto"/>
        </w:rPr>
        <w:t>(List of Group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this Agreement</w:t>
      </w:r>
      <w:r>
        <w:rPr>
          <w:rFonts w:ascii="Times New Roman" w:cs="Times New Roman" w:eastAsia="Times New Roman" w:hAnsi="Times New Roman"/>
          <w:sz w:val="18"/>
          <w:szCs w:val="18"/>
          <w:color w:val="auto"/>
        </w:rPr>
        <w:t>, other than</w:t>
      </w:r>
      <w:r>
        <w:rPr>
          <w:rFonts w:ascii="Times New Roman" w:cs="Times New Roman" w:eastAsia="Times New Roman" w:hAnsi="Times New Roman"/>
          <w:sz w:val="18"/>
          <w:szCs w:val="18"/>
          <w:b w:val="1"/>
          <w:bCs w:val="1"/>
          <w:color w:val="auto"/>
        </w:rPr>
        <w:t xml:space="preserve"> the Company</w:t>
      </w:r>
      <w:r>
        <w:rPr>
          <w:rFonts w:ascii="Times New Roman" w:cs="Times New Roman" w:eastAsia="Times New Roman" w:hAnsi="Times New Roman"/>
          <w:sz w:val="18"/>
          <w:szCs w:val="18"/>
          <w:color w:val="auto"/>
        </w:rPr>
        <w:t>;</w:t>
      </w:r>
    </w:p>
    <w:p>
      <w:pPr>
        <w:spacing w:after="0" w:line="236" w:lineRule="exact"/>
        <w:rPr>
          <w:rFonts w:ascii="Times New Roman" w:cs="Times New Roman" w:eastAsia="Times New Roman" w:hAnsi="Times New Roman"/>
          <w:sz w:val="18"/>
          <w:szCs w:val="18"/>
          <w:color w:val="auto"/>
        </w:rPr>
      </w:pPr>
    </w:p>
    <w:p>
      <w:pPr>
        <w:jc w:val="both"/>
        <w:ind w:firstLine="332"/>
        <w:spacing w:after="0" w:line="274" w:lineRule="auto"/>
        <w:tabs>
          <w:tab w:leader="none" w:pos="64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Shenzhen Xunlei Networking Technologies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Xunlei</w:t>
      </w:r>
      <w:r>
        <w:rPr>
          <w:rFonts w:ascii="Times New Roman" w:cs="Times New Roman" w:eastAsia="Times New Roman" w:hAnsi="Times New Roman"/>
          <w:sz w:val="18"/>
          <w:szCs w:val="18"/>
          <w:color w:val="auto"/>
        </w:rPr>
        <w:t>”), a limited liability company duly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existing under the laws of the PRC, with its registered address at Rooms 2101–2107, Xunlei Building, No. 3709 Baishi Road, Gaoxin Community, Yuehai Subdistrict, Nanshan District, Shenzhen;</w:t>
      </w:r>
    </w:p>
    <w:p>
      <w:pPr>
        <w:spacing w:after="0" w:line="156"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Wuhan Kingsoft Cloud Information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Kingsoft Cloud</w:t>
      </w:r>
      <w:r>
        <w:rPr>
          <w:rFonts w:ascii="Times New Roman" w:cs="Times New Roman" w:eastAsia="Times New Roman" w:hAnsi="Times New Roman"/>
          <w:sz w:val="18"/>
          <w:szCs w:val="18"/>
          <w:color w:val="auto"/>
        </w:rPr>
        <w:t>”), a limited liability company duly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and validly existing under the laws of the PRC, with its registered address at Floor 2, Building 5, Phase I of Wuhan Headquarters Project of Kingsoft Group (Plot 11), No. 306 Optics Valley 4th Road, East Lake High-tech Development Zone, Wuhan, Hubei Province; and</w:t>
      </w:r>
    </w:p>
    <w:p>
      <w:pPr>
        <w:spacing w:after="0" w:line="164" w:lineRule="exact"/>
        <w:rPr>
          <w:rFonts w:ascii="Times New Roman" w:cs="Times New Roman" w:eastAsia="Times New Roman" w:hAnsi="Times New Roman"/>
          <w:sz w:val="18"/>
          <w:szCs w:val="18"/>
          <w:color w:val="auto"/>
        </w:rPr>
      </w:pPr>
    </w:p>
    <w:p>
      <w:pPr>
        <w:jc w:val="both"/>
        <w:ind w:firstLine="332"/>
        <w:spacing w:after="0" w:line="268" w:lineRule="auto"/>
        <w:tabs>
          <w:tab w:leader="none" w:pos="64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Shenzhen Xinghan Zhilian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Xinghan Zhilian</w:t>
      </w:r>
      <w:r>
        <w:rPr>
          <w:rFonts w:ascii="Times New Roman" w:cs="Times New Roman" w:eastAsia="Times New Roman" w:hAnsi="Times New Roman"/>
          <w:sz w:val="18"/>
          <w:szCs w:val="18"/>
          <w:color w:val="auto"/>
        </w:rPr>
        <w:t>”), a limited liability company duly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under the laws of the PRC, with its registered address at Room 0610-E51, Port Building, Maritime Center, No. 1167 Yihai Avenue, Nanshan Subdistrict, Qianhai Shenzhen-Hongkong Modern Service Industry Cooperation Zone, Shenzhen.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above parties shall hereinafter be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Agreement:</w:t>
      </w:r>
    </w:p>
    <w:p>
      <w:pPr>
        <w:spacing w:after="0" w:line="225" w:lineRule="exact"/>
        <w:rPr>
          <w:sz w:val="20"/>
          <w:szCs w:val="20"/>
          <w:color w:val="auto"/>
        </w:rPr>
      </w:pPr>
    </w:p>
    <w:p>
      <w:pPr>
        <w:ind w:left="440" w:hanging="432"/>
        <w:spacing w:after="0" w:line="282" w:lineRule="auto"/>
        <w:tabs>
          <w:tab w:leader="none" w:pos="4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Nanjing Kehui, Nanjing Yimang, Nanjing Yuxin, and Nanjing Zhihui, individually or collectively, shall be referred to as the “</w:t>
      </w:r>
      <w:r>
        <w:rPr>
          <w:rFonts w:ascii="Times New Roman" w:cs="Times New Roman" w:eastAsia="Times New Roman" w:hAnsi="Times New Roman"/>
          <w:sz w:val="18"/>
          <w:szCs w:val="18"/>
          <w:b w:val="1"/>
          <w:bCs w:val="1"/>
          <w:color w:val="auto"/>
        </w:rPr>
        <w:t>Employee Shareholding Platforms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40" w:right="20" w:hanging="432"/>
        <w:spacing w:after="0" w:line="266" w:lineRule="auto"/>
        <w:tabs>
          <w:tab w:leader="none" w:pos="4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Xinghan Zhilian, the Employee Shareholding Platforms and the Key Management, individually or collectively, shall be referred to as the “</w:t>
      </w:r>
      <w:r>
        <w:rPr>
          <w:rFonts w:ascii="Times New Roman" w:cs="Times New Roman" w:eastAsia="Times New Roman" w:hAnsi="Times New Roman"/>
          <w:sz w:val="18"/>
          <w:szCs w:val="18"/>
          <w:b w:val="1"/>
          <w:bCs w:val="1"/>
          <w:color w:val="auto"/>
        </w:rPr>
        <w:t>Management Shareholders</w:t>
      </w:r>
      <w:r>
        <w:rPr>
          <w:rFonts w:ascii="Times New Roman" w:cs="Times New Roman" w:eastAsia="Times New Roman" w:hAnsi="Times New Roman"/>
          <w:sz w:val="18"/>
          <w:szCs w:val="18"/>
          <w:color w:val="auto"/>
        </w:rPr>
        <w:t>”; the Group Companies and the Management Shareholders, individually or collectively, shall be referred to as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440" w:hanging="432"/>
        <w:spacing w:after="0" w:line="257" w:lineRule="auto"/>
        <w:tabs>
          <w:tab w:leader="none" w:pos="4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Xunlei, Kingsoft Cloud and Xinghan Zhilian, individually or collectively, shall be referred to as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For the avoidance of doubt, Xunlei shall be deemed an “Investor” (or “Financial Investor,” as defined below) under this Agreement solely with respect to its holding of RMB 76 million in registered capital of the Company following the Closing of the Transaction (as defined below); Kingsoft Cloud shall be deemed an “Investor” (or “Financial Investor”) solely with respect to its acquisition of RMB 76 million in registered capital of the Company through the Kingsoft Cloud Equity Transfer Transaction (as defined below); Xinghan Zhilian shall be deemed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8" w:name="page379"/>
    <w:bookmarkEnd w:id="378"/>
    <w:p>
      <w:pPr>
        <w:ind w:left="340"/>
        <w:spacing w:after="0" w:line="282" w:lineRule="auto"/>
        <w:rPr>
          <w:sz w:val="20"/>
          <w:szCs w:val="20"/>
          <w:color w:val="auto"/>
        </w:rPr>
      </w:pPr>
      <w:r>
        <w:rPr>
          <w:rFonts w:ascii="Times New Roman" w:cs="Times New Roman" w:eastAsia="Times New Roman" w:hAnsi="Times New Roman"/>
          <w:sz w:val="18"/>
          <w:szCs w:val="18"/>
          <w:color w:val="auto"/>
        </w:rPr>
        <w:t>“Investor” solely with respect to its acquisition of RMB 114 million in registered capital of the Company through the Xinghan Zhilian Equity Transfer Transaction (as defined below).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firstLine="332"/>
        <w:spacing w:after="0" w:line="282" w:lineRule="auto"/>
        <w:tabs>
          <w:tab w:leader="none" w:pos="64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a limited liability company duly incorporated and validly existing in Shenzhen, the PRC, with a registered capital of RMB 380 million;</w:t>
      </w:r>
    </w:p>
    <w:p>
      <w:pPr>
        <w:spacing w:after="0" w:line="161" w:lineRule="exact"/>
        <w:rPr>
          <w:rFonts w:ascii="Times New Roman" w:cs="Times New Roman" w:eastAsia="Times New Roman" w:hAnsi="Times New Roman"/>
          <w:sz w:val="18"/>
          <w:szCs w:val="18"/>
          <w:color w:val="auto"/>
        </w:rPr>
      </w:pPr>
    </w:p>
    <w:p>
      <w:pPr>
        <w:jc w:val="both"/>
        <w:ind w:firstLine="332"/>
        <w:spacing w:after="0" w:line="255" w:lineRule="auto"/>
        <w:tabs>
          <w:tab w:leader="none" w:pos="64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2026, Xunlei, Kingsoft Cloud, Xinghan Zhilian, the Company, the Key Management and other relevant parties entered into an Equity Transfer Agreement (“</w:t>
      </w:r>
      <w:r>
        <w:rPr>
          <w:rFonts w:ascii="Times New Roman" w:cs="Times New Roman" w:eastAsia="Times New Roman" w:hAnsi="Times New Roman"/>
          <w:sz w:val="18"/>
          <w:szCs w:val="18"/>
          <w:b w:val="1"/>
          <w:bCs w:val="1"/>
          <w:color w:val="auto"/>
        </w:rPr>
        <w:t>Equity Transfer Agreement</w:t>
      </w:r>
      <w:r>
        <w:rPr>
          <w:rFonts w:ascii="Times New Roman" w:cs="Times New Roman" w:eastAsia="Times New Roman" w:hAnsi="Times New Roman"/>
          <w:sz w:val="18"/>
          <w:szCs w:val="18"/>
          <w:color w:val="auto"/>
        </w:rPr>
        <w:t xml:space="preserve">”), pursuant to which: (1) Xunlei shall transfer 20% equity interest in the Company (corresponding to RMB 76 million in registered capital of the Company) to Kingsoft Cloud at a consideration of RMB 50 million (such transaction, </w:t>
      </w:r>
      <w:r>
        <w:rPr>
          <w:rFonts w:ascii="Times New Roman" w:cs="Times New Roman" w:eastAsia="Times New Roman" w:hAnsi="Times New Roman"/>
          <w:sz w:val="18"/>
          <w:szCs w:val="18"/>
          <w:b w:val="1"/>
          <w:bCs w:val="1"/>
          <w:color w:val="auto"/>
        </w:rPr>
        <w:t>“Kingsoft Cloud Equity Transfer Transaction”</w:t>
      </w:r>
      <w:r>
        <w:rPr>
          <w:rFonts w:ascii="Times New Roman" w:cs="Times New Roman" w:eastAsia="Times New Roman" w:hAnsi="Times New Roman"/>
          <w:sz w:val="18"/>
          <w:szCs w:val="18"/>
          <w:color w:val="auto"/>
        </w:rPr>
        <w:t>); (2) Xunlei shall transfer 30% equity interest in the Company (corresponding to RMB 114 million in registered capital of the Company) to Xinghan Zhilian at a consideration of RMB 75 million (such transaction</w:t>
      </w:r>
      <w:r>
        <w:rPr>
          <w:rFonts w:ascii="Times New Roman" w:cs="Times New Roman" w:eastAsia="Times New Roman" w:hAnsi="Times New Roman"/>
          <w:sz w:val="18"/>
          <w:szCs w:val="18"/>
          <w:b w:val="1"/>
          <w:bCs w:val="1"/>
          <w:color w:val="auto"/>
        </w:rPr>
        <w:t>, “Xinghan Zhilian Equity Transfer Transaction</w:t>
      </w:r>
      <w:r>
        <w:rPr>
          <w:rFonts w:ascii="Times New Roman" w:cs="Times New Roman" w:eastAsia="Times New Roman" w:hAnsi="Times New Roman"/>
          <w:sz w:val="18"/>
          <w:szCs w:val="18"/>
          <w:color w:val="auto"/>
        </w:rPr>
        <w:t>,” together with the Kingsoft Cloud Equity Transfer Transaction</w:t>
      </w:r>
      <w:r>
        <w:rPr>
          <w:rFonts w:ascii="Times New Roman" w:cs="Times New Roman" w:eastAsia="Times New Roman" w:hAnsi="Times New Roman"/>
          <w:sz w:val="18"/>
          <w:szCs w:val="18"/>
          <w:b w:val="1"/>
          <w:bCs w:val="1"/>
          <w:color w:val="auto"/>
        </w:rPr>
        <w:t>, the “Transaction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constitutes one of the conditions precedent to the Closing under the Equity Transfer Agreement, and the Parties intend to set forth herein their respective rights and obligations with respect to the governance of the Company and related matters following completion of the Transaction.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Unless otherwise specified in the context, the following terms shall have the meanings set forth below in this Agreement:</w:t>
      </w:r>
    </w:p>
    <w:p>
      <w:pPr>
        <w:sectPr>
          <w:pgSz w:w="11900" w:h="16838" w:orient="portrait"/>
          <w:cols w:equalWidth="0" w:num="1">
            <w:col w:w="9920"/>
          </w:cols>
          <w:pgMar w:left="980" w:top="121" w:right="999" w:bottom="1440" w:gutter="0" w:footer="0" w:header="0"/>
        </w:sectPr>
      </w:pP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Registration</w:t>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Authority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State Administration for Market Regulation of the PRC or any local market regulation authority or other governmental authority responsible for the registration of commercial entities (as applicable), or any successor authority thereto.</w:t>
      </w:r>
    </w:p>
    <w:p>
      <w:pPr>
        <w:spacing w:after="0" w:line="64" w:lineRule="exact"/>
        <w:rPr>
          <w:sz w:val="20"/>
          <w:szCs w:val="20"/>
          <w:color w:val="auto"/>
        </w:rPr>
      </w:pPr>
    </w:p>
    <w:p>
      <w:pPr>
        <w:sectPr>
          <w:pgSz w:w="11900" w:h="16838" w:orient="portrait"/>
          <w:cols w:equalWidth="0" w:num="3">
            <w:col w:w="1600" w:space="720"/>
            <w:col w:w="460" w:space="400"/>
            <w:col w:w="6740"/>
          </w:cols>
          <w:pgMar w:left="980" w:top="121" w:right="9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b w:val="1"/>
          <w:bCs w:val="1"/>
          <w:color w:val="auto"/>
        </w:rPr>
        <w:t>Laws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 w:lineRule="exact"/>
        <w:rPr>
          <w:sz w:val="20"/>
          <w:szCs w:val="20"/>
          <w:color w:val="auto"/>
        </w:rPr>
      </w:pPr>
      <w:r>
        <w:rPr>
          <w:sz w:val="20"/>
          <w:szCs w:val="20"/>
          <w:color w:val="auto"/>
        </w:rPr>
        <w:br w:type="column"/>
      </w:r>
    </w:p>
    <w:p>
      <w:pPr>
        <w:jc w:val="both"/>
        <w:ind w:right="620"/>
        <w:spacing w:after="0" w:line="261" w:lineRule="auto"/>
        <w:rPr>
          <w:sz w:val="20"/>
          <w:szCs w:val="20"/>
          <w:color w:val="auto"/>
        </w:rPr>
      </w:pPr>
      <w:r>
        <w:rPr>
          <w:rFonts w:ascii="Times New Roman" w:cs="Times New Roman" w:eastAsia="Times New Roman" w:hAnsi="Times New Roman"/>
          <w:sz w:val="18"/>
          <w:szCs w:val="18"/>
          <w:color w:val="auto"/>
        </w:rPr>
        <w:t>any and all statutes, laws, ordinances, rules, regulations, measures, decrees, orders, requirements, guidelines, principles of law or other legislative, judicial or administrative provisions promulgated by any international, national, state, provincial, municipal or local legislative, judicial or governmental authority</w:t>
      </w:r>
    </w:p>
    <w:p>
      <w:pPr>
        <w:spacing w:after="0" w:line="200" w:lineRule="exact"/>
        <w:rPr>
          <w:sz w:val="20"/>
          <w:szCs w:val="20"/>
          <w:color w:val="auto"/>
        </w:rPr>
      </w:pPr>
    </w:p>
    <w:p>
      <w:pPr>
        <w:sectPr>
          <w:pgSz w:w="11900" w:h="16838" w:orient="portrait"/>
          <w:cols w:equalWidth="0" w:num="3">
            <w:col w:w="1600" w:space="720"/>
            <w:col w:w="460" w:space="400"/>
            <w:col w:w="6740"/>
          </w:cols>
          <w:pgMar w:left="98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79" w:name="page380"/>
    <w:bookmarkEnd w:id="379"/>
    <w:tbl>
      <w:tblPr>
        <w:tblLayout w:type="fixed"/>
        <w:tblInd w:w="12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any other regulatory authority, whether within or outside the PRC, as well as any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official interpretation thereof.</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Law</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Law of the People’s Republic of China.</w:t>
            </w:r>
          </w:p>
        </w:tc>
        <w:tc>
          <w:tcPr>
            <w:tcW w:w="0" w:type="dxa"/>
            <w:vAlign w:val="bottom"/>
          </w:tcPr>
          <w:p>
            <w:pPr>
              <w:spacing w:after="0"/>
              <w:rPr>
                <w:sz w:val="1"/>
                <w:szCs w:val="1"/>
                <w:color w:val="auto"/>
              </w:rPr>
            </w:pP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Articles of</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articles of association of the Company approved by the shareholders’ meeting of</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Association</w:t>
            </w:r>
          </w:p>
        </w:tc>
        <w:tc>
          <w:tcPr>
            <w:tcW w:w="110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and effective as of the Closing Date, as amended from time to time</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day other than a Saturday, Sunday or any other day on which banks in the PRC</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 authorized or required by Law to be closed.</w:t>
            </w: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Employees</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 Hao (CEO), Liu Yingqiao (Head of Onething Division), Wu Lei (CTO of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Onething), Zeng Weiji (Chief Architect of Onething), and such other employees of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or the Group Companies as may from time to time be designated as</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employees by the CEO.</w:t>
            </w: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any Person, any other Person that directly or indirectly controls, is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controlled by, or is under common control with such Person; and, with respect to a</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person, also includes such Person’s immediate family members (including</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but  not  limited  to  such  person’s  spouse,  children,  parents,  grandparents,</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grandchildren and similar relations).</w:t>
            </w:r>
          </w:p>
        </w:tc>
        <w:tc>
          <w:tcPr>
            <w:tcW w:w="0" w:type="dxa"/>
            <w:vAlign w:val="bottom"/>
          </w:tcPr>
          <w:p>
            <w:pPr>
              <w:spacing w:after="0"/>
              <w:rPr>
                <w:sz w:val="1"/>
                <w:szCs w:val="1"/>
                <w:color w:val="auto"/>
              </w:rPr>
            </w:pP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any Person, any transaction between such Person and any of its</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Affiliates.</w:t>
            </w:r>
          </w:p>
        </w:tc>
        <w:tc>
          <w:tcPr>
            <w:tcW w:w="0" w:type="dxa"/>
            <w:vAlign w:val="bottom"/>
          </w:tcPr>
          <w:p>
            <w:pPr>
              <w:spacing w:after="0"/>
              <w:rPr>
                <w:sz w:val="1"/>
                <w:szCs w:val="1"/>
                <w:color w:val="auto"/>
              </w:rPr>
            </w:pP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Group or Group</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its Subsidiaries and any other entities currently or in the future</w:t>
            </w:r>
          </w:p>
        </w:tc>
        <w:tc>
          <w:tcPr>
            <w:tcW w:w="0" w:type="dxa"/>
            <w:vAlign w:val="bottom"/>
          </w:tcPr>
          <w:p>
            <w:pPr>
              <w:spacing w:after="0"/>
              <w:rPr>
                <w:sz w:val="1"/>
                <w:szCs w:val="1"/>
                <w:color w:val="auto"/>
              </w:rPr>
            </w:pP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controlled by the Company, including but not limited to those entities listed in</w:t>
            </w:r>
          </w:p>
        </w:tc>
        <w:tc>
          <w:tcPr>
            <w:tcW w:w="0" w:type="dxa"/>
            <w:vAlign w:val="bottom"/>
          </w:tcPr>
          <w:p>
            <w:pPr>
              <w:spacing w:after="0"/>
              <w:rPr>
                <w:sz w:val="1"/>
                <w:szCs w:val="1"/>
                <w:color w:val="auto"/>
              </w:rPr>
            </w:pPr>
          </w:p>
        </w:tc>
      </w:tr>
      <w:tr>
        <w:trPr>
          <w:trHeight w:val="242"/>
        </w:trPr>
        <w:tc>
          <w:tcPr>
            <w:tcW w:w="1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120" w:type="dxa"/>
            <w:vAlign w:val="bottom"/>
            <w:gridSpan w:val="2"/>
          </w:tcPr>
          <w:p>
            <w:pPr>
              <w:spacing w:after="0" w:line="242" w:lineRule="exact"/>
              <w:rPr>
                <w:sz w:val="20"/>
                <w:szCs w:val="20"/>
                <w:color w:val="auto"/>
              </w:rPr>
            </w:pPr>
            <w:r>
              <w:rPr>
                <w:rFonts w:ascii="Times New Roman" w:cs="Times New Roman" w:eastAsia="Times New Roman" w:hAnsi="Times New Roman"/>
                <w:sz w:val="22"/>
                <w:szCs w:val="22"/>
                <w:i w:val="1"/>
                <w:iCs w:val="1"/>
                <w:color w:val="auto"/>
              </w:rPr>
              <w:t>Annex 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1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00" w:type="dxa"/>
            <w:vAlign w:val="bottom"/>
            <w:vMerge w:val="continue"/>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date on which the Closing of the Transaction occurs.</w:t>
            </w:r>
          </w:p>
        </w:tc>
        <w:tc>
          <w:tcPr>
            <w:tcW w:w="0" w:type="dxa"/>
            <w:vAlign w:val="bottom"/>
          </w:tcPr>
          <w:p>
            <w:pPr>
              <w:spacing w:after="0"/>
              <w:rPr>
                <w:sz w:val="1"/>
                <w:szCs w:val="1"/>
                <w:color w:val="auto"/>
              </w:rPr>
            </w:pP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Agreement, the Equity Transfer Agreement, the Articles of Association and any</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Documents</w:t>
            </w: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agreements or documents relating to the Transaction.</w:t>
            </w:r>
          </w:p>
        </w:tc>
        <w:tc>
          <w:tcPr>
            <w:tcW w:w="0" w:type="dxa"/>
            <w:vAlign w:val="bottom"/>
          </w:tcPr>
          <w:p>
            <w:pPr>
              <w:spacing w:after="0"/>
              <w:rPr>
                <w:sz w:val="1"/>
                <w:szCs w:val="1"/>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any Person, the power of a Person (or multiple Persons acting in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concert), whether directly or indirectly or as trustee or executor, to direct or cause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direction of the management or policies of such Person, whether through</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 of voting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80" w:name="page381"/>
    <w:bookmarkEnd w:id="380"/>
    <w:p>
      <w:pPr>
        <w:jc w:val="both"/>
        <w:ind w:left="2720" w:right="179"/>
        <w:spacing w:after="0" w:line="254" w:lineRule="auto"/>
        <w:rPr>
          <w:sz w:val="20"/>
          <w:szCs w:val="20"/>
          <w:color w:val="auto"/>
        </w:rPr>
      </w:pPr>
      <w:r>
        <w:rPr>
          <w:rFonts w:ascii="Times New Roman" w:cs="Times New Roman" w:eastAsia="Times New Roman" w:hAnsi="Times New Roman"/>
          <w:sz w:val="18"/>
          <w:szCs w:val="18"/>
          <w:color w:val="auto"/>
        </w:rPr>
        <w:t>securities or equity interests, by contract, trust arrangement or otherwise, including but not limited to: (i) ownership of more than fifty percent (50%) of the voting capital of such Person ordinarily exercisable at shareholders’ meetings or similar governing body; (ii) ownership of more than fifty percent (50%) of the voting rights at meetings of the board of directors or similar governing body of such Person; or (iii) the right to appoint or remove a majority of the members of the board of directors or similar governing body of such Person. “Controlled by” and “under common control with” shall be construed accordingly.</w:t>
      </w:r>
    </w:p>
    <w:p>
      <w:pPr>
        <w:sectPr>
          <w:pgSz w:w="11900" w:h="16838" w:orient="portrait"/>
          <w:cols w:equalWidth="0" w:num="1">
            <w:col w:w="9019"/>
          </w:cols>
          <w:pgMar w:left="1440" w:top="135" w:right="1440" w:bottom="1440" w:gutter="0" w:footer="0" w:header="0"/>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with respect to any Person, any applicable and binding Laws that apply to such Person or any of its assets.</w:t>
      </w:r>
    </w:p>
    <w:p>
      <w:pPr>
        <w:spacing w:after="0" w:line="50" w:lineRule="exact"/>
        <w:rPr>
          <w:sz w:val="20"/>
          <w:szCs w:val="20"/>
          <w:color w:val="auto"/>
        </w:rPr>
      </w:pPr>
    </w:p>
    <w:p>
      <w:pPr>
        <w:sectPr>
          <w:pgSz w:w="11900" w:h="16838" w:orient="portrait"/>
          <w:cols w:equalWidth="0" w:num="3">
            <w:col w:w="1320" w:space="540"/>
            <w:col w:w="460" w:space="400"/>
            <w:col w:w="6299"/>
          </w:cols>
          <w:pgMar w:left="1440" w:top="135" w:right="1440" w:bottom="1440" w:gutter="0" w:footer="0" w:header="0"/>
          <w:type w:val="continuous"/>
        </w:sect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Investor Unit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 w:lineRule="exact"/>
        <w:rPr>
          <w:sz w:val="20"/>
          <w:szCs w:val="20"/>
          <w:color w:val="auto"/>
        </w:rPr>
      </w:pPr>
      <w:r>
        <w:rPr>
          <w:sz w:val="20"/>
          <w:szCs w:val="20"/>
          <w:color w:val="auto"/>
        </w:rPr>
        <w:br w:type="column"/>
      </w:r>
    </w:p>
    <w:p>
      <w:pPr>
        <w:jc w:val="both"/>
        <w:ind w:right="179"/>
        <w:spacing w:after="0" w:line="256" w:lineRule="auto"/>
        <w:rPr>
          <w:sz w:val="20"/>
          <w:szCs w:val="20"/>
          <w:color w:val="auto"/>
        </w:rPr>
      </w:pPr>
      <w:r>
        <w:rPr>
          <w:rFonts w:ascii="Times New Roman" w:cs="Times New Roman" w:eastAsia="Times New Roman" w:hAnsi="Times New Roman"/>
          <w:sz w:val="18"/>
          <w:szCs w:val="18"/>
          <w:color w:val="auto"/>
        </w:rPr>
        <w:t>(A) For purposes of anti-dilution rights: with respect to Xunlei, the price per RMB 1 of registered capital of the Company corresponding to the registered capital held by Xunlei, which shall be deemed to be RMB 1 as of the Closing Date; with respect to Kingsoft Cloud and Xinghan Zhilian, the price per RMB 1 of registered capital of the Company corresponding to the registered capital acquired pursuant to the Equity Transfer Agreement, which shall be RMB 0.6579 as of the Closing Date;</w:t>
      </w:r>
    </w:p>
    <w:p>
      <w:pPr>
        <w:spacing w:after="0" w:line="79" w:lineRule="exact"/>
        <w:rPr>
          <w:sz w:val="20"/>
          <w:szCs w:val="20"/>
          <w:color w:val="auto"/>
        </w:rPr>
      </w:pPr>
    </w:p>
    <w:p>
      <w:pPr>
        <w:sectPr>
          <w:pgSz w:w="11900" w:h="16838" w:orient="portrait"/>
          <w:cols w:equalWidth="0" w:num="3">
            <w:col w:w="1140" w:space="720"/>
            <w:col w:w="460" w:space="400"/>
            <w:col w:w="6299"/>
          </w:cols>
          <w:pgMar w:left="1440" w:top="135" w:right="1440"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(B) For purposes of repurchase rights and liquidation preference:</w:t>
      </w:r>
    </w:p>
    <w:p>
      <w:pPr>
        <w:spacing w:after="0" w:line="117" w:lineRule="exact"/>
        <w:rPr>
          <w:sz w:val="20"/>
          <w:szCs w:val="20"/>
          <w:color w:val="auto"/>
        </w:rPr>
      </w:pPr>
    </w:p>
    <w:p>
      <w:pPr>
        <w:jc w:val="both"/>
        <w:ind w:left="2720" w:right="179"/>
        <w:spacing w:after="0" w:line="266" w:lineRule="auto"/>
        <w:rPr>
          <w:sz w:val="20"/>
          <w:szCs w:val="20"/>
          <w:color w:val="auto"/>
        </w:rPr>
      </w:pPr>
      <w:r>
        <w:rPr>
          <w:rFonts w:ascii="Times New Roman" w:cs="Times New Roman" w:eastAsia="Times New Roman" w:hAnsi="Times New Roman"/>
          <w:sz w:val="18"/>
          <w:szCs w:val="18"/>
          <w:color w:val="auto"/>
        </w:rPr>
        <w:t>(1) with respect to Xunlei, the price per RMB 1 of registered capital of the Company corresponding to the registered capital held by Xunlei, which shall be RMB 4.3723 as of the Closing Date;</w:t>
      </w:r>
    </w:p>
    <w:p>
      <w:pPr>
        <w:spacing w:after="0" w:line="68" w:lineRule="exact"/>
        <w:rPr>
          <w:sz w:val="20"/>
          <w:szCs w:val="20"/>
          <w:color w:val="auto"/>
        </w:rPr>
      </w:pPr>
    </w:p>
    <w:p>
      <w:pPr>
        <w:jc w:val="both"/>
        <w:ind w:left="2720" w:right="179"/>
        <w:spacing w:after="0" w:line="266" w:lineRule="auto"/>
        <w:rPr>
          <w:sz w:val="20"/>
          <w:szCs w:val="20"/>
          <w:color w:val="auto"/>
        </w:rPr>
      </w:pPr>
      <w:r>
        <w:rPr>
          <w:rFonts w:ascii="Times New Roman" w:cs="Times New Roman" w:eastAsia="Times New Roman" w:hAnsi="Times New Roman"/>
          <w:sz w:val="18"/>
          <w:szCs w:val="18"/>
          <w:color w:val="auto"/>
        </w:rPr>
        <w:t>(2) with respect to Kingsoft Cloud, the price per RMB 1 of registered capital of the Company corresponding to the registered capital acquired pursuant to the Equity Transfer Agreement, which shall be RMB 0.6579 as of the Closing Date;</w:t>
      </w:r>
    </w:p>
    <w:p>
      <w:pPr>
        <w:spacing w:after="0" w:line="68" w:lineRule="exact"/>
        <w:rPr>
          <w:sz w:val="20"/>
          <w:szCs w:val="20"/>
          <w:color w:val="auto"/>
        </w:rPr>
      </w:pPr>
    </w:p>
    <w:p>
      <w:pPr>
        <w:jc w:val="both"/>
        <w:ind w:left="2720" w:right="179"/>
        <w:spacing w:after="0" w:line="266" w:lineRule="auto"/>
        <w:rPr>
          <w:sz w:val="20"/>
          <w:szCs w:val="20"/>
          <w:color w:val="auto"/>
        </w:rPr>
      </w:pPr>
      <w:r>
        <w:rPr>
          <w:rFonts w:ascii="Times New Roman" w:cs="Times New Roman" w:eastAsia="Times New Roman" w:hAnsi="Times New Roman"/>
          <w:sz w:val="18"/>
          <w:szCs w:val="18"/>
          <w:color w:val="auto"/>
        </w:rPr>
        <w:t>(3) with respect to Xinghan Zhilian, the price per RMB 1 of registered capital of the Company corresponding to the registered capital acquired pursuant to the Equity Transfer Agreement, which shall be RMB 0.6579 as of the Closing Date.</w:t>
      </w:r>
    </w:p>
    <w:p>
      <w:pPr>
        <w:sectPr>
          <w:pgSz w:w="11900" w:h="16838" w:orient="portrait"/>
          <w:cols w:equalWidth="0" w:num="1">
            <w:col w:w="9019"/>
          </w:cols>
          <w:pgMar w:left="1440" w:top="1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type w:val="continuous"/>
        </w:sectPr>
      </w:pPr>
    </w:p>
    <w:bookmarkStart w:id="381" w:name="page382"/>
    <w:bookmarkEnd w:id="381"/>
    <w:tbl>
      <w:tblPr>
        <w:tblLayout w:type="fixed"/>
        <w:tblInd w:w="12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 The above prices shall be subject to adjustment in the event of any share split,</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dividend, consolidation, reorganization or other similar events affecting the</w:t>
            </w:r>
          </w:p>
        </w:tc>
      </w:tr>
      <w:tr>
        <w:trPr>
          <w:trHeight w:val="234"/>
        </w:trPr>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interests of the Company.</w:t>
            </w: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Rata Equity</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respect to shareholders entitled to certain rights or subject to certain obligations</w:t>
            </w:r>
          </w:p>
        </w:tc>
      </w:tr>
      <w:tr>
        <w:trPr>
          <w:trHeight w:val="220"/>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w:t>
            </w:r>
          </w:p>
        </w:tc>
        <w:tc>
          <w:tcPr>
            <w:tcW w:w="900" w:type="dxa"/>
            <w:vAlign w:val="bottom"/>
          </w:tcPr>
          <w:p>
            <w:pPr>
              <w:spacing w:after="0"/>
              <w:rPr>
                <w:sz w:val="19"/>
                <w:szCs w:val="19"/>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this Agreement, the proportion of equity interests held by a particular</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 in the Company relative to the aggregate equity interests held by all</w:t>
            </w:r>
          </w:p>
        </w:tc>
      </w:tr>
      <w:tr>
        <w:trPr>
          <w:trHeight w:val="234"/>
        </w:trPr>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entitled to such rights or subject to such obligations.</w:t>
            </w: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the principal business, and (b) each other business currently or from time to time</w:t>
            </w:r>
          </w:p>
        </w:tc>
      </w:tr>
      <w:tr>
        <w:trPr>
          <w:trHeight w:val="234"/>
        </w:trPr>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conducted by the Group Companies.</w:t>
            </w: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 the sale, lease, transfer or other disposition of all or substantially all of the assets</w:t>
            </w:r>
          </w:p>
        </w:tc>
      </w:tr>
      <w:tr>
        <w:trPr>
          <w:trHeight w:val="220"/>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900" w:type="dxa"/>
            <w:vAlign w:val="bottom"/>
          </w:tcPr>
          <w:p>
            <w:pPr>
              <w:spacing w:after="0"/>
              <w:rPr>
                <w:sz w:val="19"/>
                <w:szCs w:val="19"/>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Group Companies as a whole, the Company or any Material Subsidiary,</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licensing of all or substantially all material intellectual property of the</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Group Companies as a whole, the Company or any Material Subsidiary to a third</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party (other than software licenses granted in the ordinary course of business); or (ii)</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merger,  restructuring,  equity  transfer,  sale  of  equity  interests  or  other</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whether in a single transaction or a series of transactions, pursuant to</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which the Group Companies as a whole, the Company or any Material Subsidiary is</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by another Person, and the shareholders of the Group Companies as a</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whole, the Company or such Material Subsidiary immediately prior to such</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hold less than fifty percent (50%) of the equity interests or voting rights</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the surviving or successor entity following completion of such transaction, or</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transaction results in a change of control of the Group Companies as a whole,</w:t>
            </w:r>
          </w:p>
        </w:tc>
      </w:tr>
      <w:tr>
        <w:trPr>
          <w:trHeight w:val="234"/>
        </w:trPr>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or any Material Subsidiary.</w:t>
            </w:r>
          </w:p>
        </w:tc>
      </w:tr>
      <w:tr>
        <w:trPr>
          <w:trHeight w:val="30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Governmental</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w:t>
            </w: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any international organization, national, state, provincial, municipal or local</w:t>
            </w:r>
          </w:p>
        </w:tc>
      </w:tr>
      <w:tr>
        <w:trPr>
          <w:trHeight w:val="220"/>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900" w:type="dxa"/>
            <w:vAlign w:val="bottom"/>
          </w:tcPr>
          <w:p>
            <w:pPr>
              <w:spacing w:after="0"/>
              <w:rPr>
                <w:sz w:val="19"/>
                <w:szCs w:val="19"/>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governmental,  regulatory  or  administrative  authority,  department,</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agency or commission, or any court, tribunal, judicial or arbitral body, whether</w:t>
            </w:r>
          </w:p>
        </w:tc>
      </w:tr>
      <w:tr>
        <w:trPr>
          <w:trHeight w:val="216"/>
        </w:trPr>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or outside the PRC; or (b) any agency or entity acting under the authority of,</w:t>
            </w:r>
          </w:p>
        </w:tc>
      </w:tr>
      <w:tr>
        <w:trPr>
          <w:trHeight w:val="234"/>
        </w:trPr>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 exercising powers or functions of, any entity described in clause (a), or 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2" w:name="page383"/>
    <w:bookmarkEnd w:id="382"/>
    <w:tbl>
      <w:tblPr>
        <w:tblLayout w:type="fixed"/>
        <w:tblInd w:w="12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institution or other entity owned or controlled by any of the foregoing that</w:t>
            </w:r>
          </w:p>
        </w:tc>
      </w:tr>
      <w:tr>
        <w:trPr>
          <w:trHeight w:val="234"/>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exercises regulatory authority.</w:t>
            </w:r>
          </w:p>
        </w:tc>
      </w:tr>
      <w:tr>
        <w:trPr>
          <w:trHeight w:val="304"/>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PRC GAAP</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generally accepted accounting principles consistently applied in the PRC during the</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relevant periods, which as of the date hereof refer to the </w:t>
            </w:r>
            <w:r>
              <w:rPr>
                <w:rFonts w:ascii="Times New Roman" w:cs="Times New Roman" w:eastAsia="Times New Roman" w:hAnsi="Times New Roman"/>
                <w:sz w:val="18"/>
                <w:szCs w:val="18"/>
                <w:i w:val="1"/>
                <w:iCs w:val="1"/>
                <w:color w:val="auto"/>
              </w:rPr>
              <w:t>Accounting Standards for</w:t>
            </w:r>
          </w:p>
        </w:tc>
      </w:tr>
      <w:tr>
        <w:trPr>
          <w:trHeight w:val="218"/>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Business Enterprises </w:t>
            </w:r>
            <w:r>
              <w:rPr>
                <w:rFonts w:ascii="Times New Roman" w:cs="Times New Roman" w:eastAsia="Times New Roman" w:hAnsi="Times New Roman"/>
                <w:sz w:val="18"/>
                <w:szCs w:val="18"/>
                <w:color w:val="auto"/>
              </w:rPr>
              <w:t>issued by the Ministry of Finance of the PRC on February 15,</w:t>
            </w:r>
          </w:p>
        </w:tc>
      </w:tr>
      <w:tr>
        <w:trPr>
          <w:trHeight w:val="234"/>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2006 and effective as of January 1, 2007, as amended from time to time.</w:t>
            </w:r>
          </w:p>
        </w:tc>
      </w:tr>
      <w:tr>
        <w:trPr>
          <w:trHeight w:val="302"/>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Subsidiary of the Company whose net assets account for more than fifty percent</w:t>
            </w:r>
          </w:p>
        </w:tc>
      </w:t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 of the total net assets of the Group Companies.</w:t>
            </w:r>
          </w:p>
        </w:tc>
      </w:tr>
      <w:tr>
        <w:trPr>
          <w:trHeight w:val="302"/>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Material Adverse</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circumstance, change or effect that, individually or in the aggregate with any</w:t>
            </w:r>
          </w:p>
        </w:tc>
      </w:tr>
      <w:tr>
        <w:trPr>
          <w:trHeight w:val="220"/>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w:t>
            </w:r>
          </w:p>
        </w:tc>
        <w:tc>
          <w:tcPr>
            <w:tcW w:w="8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circumstance, change or effect: (a) has or would reasonably be expected to</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have a material adverse effect on the principal business or the business, operations,</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liabilities (including contingent liabilities), results of operations, financial</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 or prospects of the Group Companies as a whole; (b) has or would</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 on the qualification or</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ability of the Group Companies as a whole to conduct its business as currently</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conducted or proposed to be conducted; or (c) has or would reasonably be expected</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have a material adverse effect on the execution or performance of any Transaction</w:t>
            </w:r>
          </w:p>
        </w:tc>
      </w:tr>
      <w:tr>
        <w:trPr>
          <w:trHeight w:val="234"/>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 or the transactions contemplated thereunder.</w:t>
            </w:r>
          </w:p>
        </w:tc>
      </w:tr>
      <w:tr>
        <w:trPr>
          <w:trHeight w:val="30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natural person, partnership, joint stock company, limited liability company,</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association,  trust,  other  foundation,  corporation,  unincorporated  organization,</w:t>
            </w:r>
          </w:p>
        </w:tc>
      </w:tr>
      <w:tr>
        <w:trPr>
          <w:trHeight w:val="234"/>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Authority or other entity.</w:t>
            </w:r>
          </w:p>
        </w:tc>
      </w:tr>
      <w:tr>
        <w:trPr>
          <w:trHeight w:val="30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Business</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the date of this Agreement, the provision of content distribution network</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(CDN) and acceleration services based on edge computing, AI computing power</w:t>
            </w:r>
          </w:p>
        </w:tc>
      </w:tr>
      <w:tr>
        <w:trPr>
          <w:trHeight w:val="234"/>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platform services and other related businesses.</w:t>
            </w:r>
          </w:p>
        </w:tc>
      </w:tr>
      <w:tr>
        <w:trPr>
          <w:trHeight w:val="30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company, partnership or other entity that is directly or indirectly established or</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by a Person and in which such Person directly or indirectly owns more than</w:t>
            </w:r>
          </w:p>
        </w:tc>
      </w:tr>
      <w:tr>
        <w:trPr>
          <w:trHeight w:val="234"/>
        </w:trPr>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fifty percent (50%) of the equity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83" w:name="page384"/>
    <w:bookmarkEnd w:id="383"/>
    <w:p>
      <w:pPr>
        <w:jc w:val="both"/>
        <w:ind w:left="3180" w:right="620"/>
        <w:spacing w:after="0" w:line="266" w:lineRule="auto"/>
        <w:rPr>
          <w:sz w:val="20"/>
          <w:szCs w:val="20"/>
          <w:color w:val="auto"/>
        </w:rPr>
      </w:pPr>
      <w:r>
        <w:rPr>
          <w:rFonts w:ascii="Times New Roman" w:cs="Times New Roman" w:eastAsia="Times New Roman" w:hAnsi="Times New Roman"/>
          <w:sz w:val="18"/>
          <w:szCs w:val="18"/>
          <w:color w:val="auto"/>
        </w:rPr>
        <w:t>interests or voting rights, or which is otherwise controlled by such Person, and whose financial statements are required to be consolidated with such Person in accordance with applicable accounting standards.</w:t>
      </w:r>
    </w:p>
    <w:p>
      <w:pPr>
        <w:spacing w:after="0" w:line="2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Unless otherwise specified in this Agreement:</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w:t>
        <w:tab/>
        <w:t>References to “this Agreement,” “hereof,” “herein” or similar expressions shall refer to this Agreement as a whole and not to any specific provision hereof. References to Sections or Subsections are to Sections or Subsections of this Agreement unless otherwise expressly stated.</w:t>
      </w:r>
    </w:p>
    <w:p>
      <w:pPr>
        <w:spacing w:after="0" w:line="176"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w:t>
        <w:tab/>
        <w:t>Any express or implied reference to Applicable Law shall be deemed to include any amendment, re-enactment or replacement thereof from time to time.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Headings and titles are for convenience of reference only and shall not affect the interpretation of this Agreement.</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1.2.4</w:t>
        <w:tab/>
        <w:t>All defined terms used in any certificate or other document delivered pursuant to this Agreement shall have the meanings ascribed to them herein unless otherwise defined therein.</w:t>
      </w:r>
    </w:p>
    <w:p>
      <w:pPr>
        <w:spacing w:after="0" w:line="162"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1.2.5</w:t>
        <w:tab/>
        <w:t>Any reference to a section shall be deemed to refer to the entire section rather than any specific item, paragraph or subsection thereof, unless expressly specified otherwise.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“Written” or “in writing” includes communications transmitted by letter, email or facsimile.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1.2.7</w:t>
        <w:tab/>
        <w:t>Unless otherwise specified, references to “RMB” mean the lawful currency of the PRC.</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References to “above” shall include the number itself.</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References to “including” shall mean “including but not limited to.”</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color w:val="auto"/>
        </w:rPr>
        <w:t>References to any Person shall include such Person’s successors and permitted assigns.</w:t>
      </w:r>
    </w:p>
    <w:p>
      <w:pPr>
        <w:spacing w:after="0" w:line="221"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Basic Information of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Name and Registered Address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name of the Company is Shenzhen Onething Technology Co., Ltd.</w:t>
      </w:r>
    </w:p>
    <w:p>
      <w:pPr>
        <w:spacing w:after="0" w:line="225"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The registered address of the Company is Room 0610-E13, Port Building, Maritime Center, No. 59 Linhai Avenue, Nanshan Subdistrict, Qianhai Shenzhen-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4" w:name="page385"/>
    <w:bookmarkEnd w:id="384"/>
    <w:p>
      <w:pPr>
        <w:ind w:left="580"/>
        <w:spacing w:after="0"/>
        <w:rPr>
          <w:sz w:val="20"/>
          <w:szCs w:val="20"/>
          <w:color w:val="auto"/>
        </w:rPr>
      </w:pPr>
      <w:r>
        <w:rPr>
          <w:rFonts w:ascii="Times New Roman" w:cs="Times New Roman" w:eastAsia="Times New Roman" w:hAnsi="Times New Roman"/>
          <w:sz w:val="18"/>
          <w:szCs w:val="18"/>
          <w:color w:val="auto"/>
        </w:rPr>
        <w:t>Hongkong Modern Service Industry Cooperation Zone, Shenzhen.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Limited Liability Company</w:t>
      </w:r>
    </w:p>
    <w:p>
      <w:pPr>
        <w:spacing w:after="0" w:line="22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Company is a limited liability company with legal person status. Each shareholder of the Company shall be liable to the Company only to the extent of the consideration for its subscribed capital contribution to the Company. Except as otherwise provided under Applicable Law or the Transaction Documents, or as otherwise agreed by such shareholder, no shareholder of the Company shall bear any liability for the debts or obligations of the Company in excess of the consideration for its subscribed capital contribution.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Scope of Business</w:t>
      </w:r>
    </w:p>
    <w:p>
      <w:pPr>
        <w:spacing w:after="0" w:line="2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As of the date of this Agreement, the business scope of the Company as registered with the Registration Authority is as follows: software development, technical consulting and related technical services; design, development and sale of hardware and chips; research, development and sale of electronic products and communication equipment; engagement in advertising business; research, development and sale of electronic products and communication equipment; research, development and sale of intelligent hardware; import and export of goods and technologies (excluding items prohibited by laws, administrative regulations or decisions of the State Council; restricted items may be operated only upon obtaining the relevant approvals); (except for items requiring approval pursuant to law, business activities shall be carried out independently based on the business license in accordance with law); CDN content distribution network services and related live streaming business; telecommunications business operations; internet cultural operations; performance brokerage; commercial performances. (For items requiring approval pursuant to law, business activities shall be carried out only after approval by the relevant authorities, and the specific business scope shall be subject to the approval documents or permits issued by the relevant authorities.)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Principal Business</w:t>
      </w:r>
    </w:p>
    <w:p>
      <w:pPr>
        <w:spacing w:after="0" w:line="22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engages in (1) the Principal Business; and (2) other business activities as may from time to time be approved by the shareholders’ meeting and the board of directors of the Company in accordance with this Agreement following completion of the Transaction.</w:t>
      </w:r>
    </w:p>
    <w:p>
      <w:pPr>
        <w:spacing w:after="0" w:line="176"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If the Principal Business of the Company changes, the Company shall, where required under Applicable Law, promptly update its registered business scope with the Registration Authority.</w:t>
      </w:r>
    </w:p>
    <w:p>
      <w:pPr>
        <w:spacing w:after="0" w:line="158" w:lineRule="exact"/>
        <w:rPr>
          <w:sz w:val="20"/>
          <w:szCs w:val="20"/>
          <w:color w:val="auto"/>
        </w:rPr>
      </w:pPr>
    </w:p>
    <w:p>
      <w:pPr>
        <w:ind w:left="2020"/>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Register of Shareholders and Applicability to New Shareholders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Register of Shareholders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shall, in accordance with the Equity Transfer Agreement,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5" w:name="page386"/>
    <w:bookmarkEnd w:id="385"/>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Kingsoft Cloud and Xinghan Zhilian in the register of shareholders of the Company and deliver the register of shareholders to them. The register of shareholders shall be kept by the Company. The Company shall provide each of the other shareholders with a copy of the register of shareholders stamped by the Company and confirmed to be consistent with the original. The matters recorded in the register of shareholders shall comply with the requirements of PRC Laws.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Applicability to New Shareholders</w:t>
      </w:r>
    </w:p>
    <w:p>
      <w:pPr>
        <w:spacing w:after="0" w:line="2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Following the Closing Date, if any Key Management directly or indirectly acquires equity interests in the Company, or if any other Person (including any director, supervisor or employee of the Company), other than the Key Management, directly or indirectly acquires equity interests in the Company through the employee stock ownership plan or other equity incentive plan approved pursuant to this Agreement, and the relevant terms and conditions under this Agreement apply to such Person, the Guarantors shall procure that such Person execute a confirmation acknowledging that it agrees to be bound by all provisions of this Agreement and the Articles of Association, and such Person shall assume the corresponding rights and obligations under this Agreement and the Articles of Association. The execution of such confirmation or the execution of this Agreement shall be a condition precedent to such Person’s direct or indirect acquisition of equity interests in the Company; provided, however, that where such Person indirectly holds equity interests in the Company through an Employee Shareholding Platform and such Employee Shareholding Platform remains a Party to this Agreement, such Person shall not be required to separately perform such obligations.</w:t>
      </w:r>
    </w:p>
    <w:p>
      <w:pPr>
        <w:spacing w:after="0" w:line="188" w:lineRule="exact"/>
        <w:rPr>
          <w:sz w:val="20"/>
          <w:szCs w:val="20"/>
          <w:color w:val="auto"/>
        </w:rPr>
      </w:pPr>
    </w:p>
    <w:p>
      <w:pPr>
        <w:ind w:left="386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Equity Transfer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Restrictions on Equity Transfer and CEO Right of First Refusal</w:t>
      </w:r>
    </w:p>
    <w:p>
      <w:pPr>
        <w:spacing w:after="0" w:line="229"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4.1.1</w:t>
        <w:tab/>
        <w:t>Subject to Section 4.1.2 hereof, following completion of the Closing of the Transaction, without the prior written consent of Xunlei and Kingsoft Cloud, the Management Shareholders shall not, and the Guarantors shall procure that the Key Employees shall not: (i) directly or indirectly sell, transfer, pledge, create any encumbrance over, or otherwise dispose of any or all of the equity interests in the Company held by them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 indirect Transfer includes, without limitation, the transfer of equity interests or partnership interests in Xinghan Zhilian or any Employee Shareholding Platform, transfer of interests or shares of general partners or limited partners of such entities, or transfer of related economic interests, voting rights or similar arrangements); (ii) enter into any equity arrangement or similar agreement that directly or indirectly transfers or assigns any or all economic interests and risks in respect of the equity interests in the Company held by them; or (iii) announce any intention to conduct or implement any transaction described in items (i) or (ii) above; (collectively, “</w:t>
      </w:r>
      <w:r>
        <w:rPr>
          <w:rFonts w:ascii="Times New Roman" w:cs="Times New Roman" w:eastAsia="Times New Roman" w:hAnsi="Times New Roman"/>
          <w:sz w:val="18"/>
          <w:szCs w:val="18"/>
          <w:b w:val="1"/>
          <w:bCs w:val="1"/>
          <w:color w:val="auto"/>
        </w:rPr>
        <w:t>Transfer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6" w:name="page387"/>
    <w:bookmarkEnd w:id="386"/>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The Transfer Restrictions shall not apply to the following circumstances: (A) any equity transfer carried out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implementing any equity incentive plan duly approved pursuant to this Agreement; (B) the pledge by Xinghan Zhilian of its registered capital of RMB 114 million in the Company in favor of SPD Bank in order to perform its obligations under the M&amp;A loan agreement entered into between Xinghan Zhilian and SPD Bank; (C) the pledge by the CEO, prior to the Closing Date, of 3.75% of the total registered capital of the Company directly held by the CEO (corresponding to registered capital of RMB 14.23 million in the Company) in favor of Xunlei; (D) any Transfer to such Person’s spouse or children, or any trust established for estate planning purposes for the benefit of such Person or such Person’s spouse or children, provided that</w:t>
      </w:r>
    </w:p>
    <w:p>
      <w:pPr>
        <w:spacing w:after="0" w:line="1" w:lineRule="exact"/>
        <w:rPr>
          <w:sz w:val="20"/>
          <w:szCs w:val="20"/>
          <w:color w:val="auto"/>
        </w:rPr>
      </w:pPr>
    </w:p>
    <w:p>
      <w:pPr>
        <w:jc w:val="both"/>
        <w:ind w:left="660" w:hanging="4"/>
        <w:spacing w:after="0" w:line="255" w:lineRule="auto"/>
        <w:tabs>
          <w:tab w:leader="none" w:pos="91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shall not result in a change in the ultimate actual controller of the Group Companies, and (y) the transferor and the transferee shall assume joint and several liability under the Transaction Documents; and (E) any Transfer made by the Management Shareholders for the purpose of fulfilling indemnification obligations under the Transaction Documents.</w:t>
      </w:r>
    </w:p>
    <w:p>
      <w:pPr>
        <w:spacing w:after="0" w:line="7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With respect to each of Xunlei and Kingsoft Cloud, after such Party has recovered all of its investment cost in the Company (“</w:t>
      </w:r>
      <w:r>
        <w:rPr>
          <w:rFonts w:ascii="Times New Roman" w:cs="Times New Roman" w:eastAsia="Times New Roman" w:hAnsi="Times New Roman"/>
          <w:sz w:val="18"/>
          <w:szCs w:val="18"/>
          <w:b w:val="1"/>
          <w:bCs w:val="1"/>
          <w:color w:val="auto"/>
        </w:rPr>
        <w:t>Full Recovery of Investment Cost</w:t>
      </w:r>
      <w:r>
        <w:rPr>
          <w:rFonts w:ascii="Times New Roman" w:cs="Times New Roman" w:eastAsia="Times New Roman" w:hAnsi="Times New Roman"/>
          <w:sz w:val="18"/>
          <w:szCs w:val="18"/>
          <w:color w:val="auto"/>
        </w:rPr>
        <w:t>”) or upon the completion of an initial public offering of the Company, whichever occurs earlier, the foregoing Transfers shall no longer be subject to the consent of the Party whose investment cost has been fully recovered. Unless otherwise expressly provided in this Agreement, for purposes of determining whether Xunlei or Kingsoft Cloud has achieved Full Recovery of Investment Cost, the calculation shall include cumulative proceeds received after the Closing of the Transaction through dividends, liquidation distributions, repurchase, transfer of equity interests in the Company and indemnification received from all Guarantors pursuant to the Transaction Documents or Applicable Law. The investment cost of Kingsoft Cloud shall be RMB 50 million, and the investment cost of Xunlei shall be RMB 332,297,400.</w:t>
      </w:r>
    </w:p>
    <w:p>
      <w:pPr>
        <w:spacing w:after="0" w:line="84"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4.1.2</w:t>
        <w:tab/>
        <w:t>Except for the Key Management and Key Employees who have already executed this Agreement, if the Company introduces any additional Key Management or Key Employees in the future as approved by the CEO, and such individuals have directly or indirectly obtained or will obtain equity interests in the Company by any means, the Guarantors shall procure that such individuals be subject to the Transfer Restrictions set forth in this Section 4.1.1 as a condition precedent to their direct or indirect holding or acquisition of equity interests in the Company, in order to ensure the effectiveness of the relevant equity incentive arrangements.</w:t>
      </w:r>
    </w:p>
    <w:p>
      <w:pPr>
        <w:spacing w:after="0" w:line="75" w:lineRule="exact"/>
        <w:rPr>
          <w:sz w:val="20"/>
          <w:szCs w:val="20"/>
          <w:color w:val="auto"/>
        </w:rPr>
      </w:pPr>
    </w:p>
    <w:p>
      <w:pPr>
        <w:jc w:val="both"/>
        <w:ind w:left="640" w:hanging="634"/>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4.1.3</w:t>
        <w:tab/>
        <w:t xml:space="preserve">Subject to the provisions of this Section 4.1.3, Xunlei and Kingsoft Cloud (collectively, </w:t>
      </w:r>
      <w:r>
        <w:rPr>
          <w:rFonts w:ascii="Times New Roman" w:cs="Times New Roman" w:eastAsia="Times New Roman" w:hAnsi="Times New Roman"/>
          <w:sz w:val="18"/>
          <w:szCs w:val="18"/>
          <w:b w:val="1"/>
          <w:bCs w:val="1"/>
          <w:color w:val="auto"/>
        </w:rPr>
        <w:t>“Financial Investors</w:t>
      </w:r>
      <w:r>
        <w:rPr>
          <w:rFonts w:ascii="Times New Roman" w:cs="Times New Roman" w:eastAsia="Times New Roman" w:hAnsi="Times New Roman"/>
          <w:sz w:val="18"/>
          <w:szCs w:val="18"/>
          <w:color w:val="auto"/>
        </w:rPr>
        <w:t>”) shall have the right to sell, transfer or otherwise create any encumbrance over the equity interests in the Company held by them without obtaining the consent of any other shareholder or the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7" w:name="page388"/>
    <w:bookmarkEnd w:id="387"/>
    <w:p>
      <w:pPr>
        <w:ind w:left="180" w:firstLine="6"/>
        <w:spacing w:after="0" w:line="282" w:lineRule="auto"/>
        <w:tabs>
          <w:tab w:leader="none" w:pos="441"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Financial Investor proposes to transfer equity interests in the Company to a Competitor, such Financial Investor shall obtain the prior written consent of the CEO.</w:t>
      </w:r>
    </w:p>
    <w:p>
      <w:pPr>
        <w:spacing w:after="0" w:line="53" w:lineRule="exact"/>
        <w:rPr>
          <w:rFonts w:ascii="Times New Roman" w:cs="Times New Roman" w:eastAsia="Times New Roman" w:hAnsi="Times New Roman"/>
          <w:sz w:val="18"/>
          <w:szCs w:val="18"/>
          <w:color w:val="auto"/>
        </w:rPr>
      </w:pPr>
    </w:p>
    <w:p>
      <w:pPr>
        <w:jc w:val="both"/>
        <w:ind w:left="180" w:firstLine="6"/>
        <w:spacing w:after="0" w:line="255" w:lineRule="auto"/>
        <w:tabs>
          <w:tab w:leader="none" w:pos="44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item (1) above, if any Financial Investor proposes to transfer equity interests in the Company to any Person (other than an Affiliate of such Financial Investor), the CEO shall have the right, on the same terms and conditions as those offered to the proposed transferee, to purchase, either directly or through a designated Person, all or part of the equity interests proposed to be transferred by such Financial Investor (“</w:t>
      </w:r>
      <w:r>
        <w:rPr>
          <w:rFonts w:ascii="Times New Roman" w:cs="Times New Roman" w:eastAsia="Times New Roman" w:hAnsi="Times New Roman"/>
          <w:sz w:val="18"/>
          <w:szCs w:val="18"/>
          <w:b w:val="1"/>
          <w:bCs w:val="1"/>
          <w:color w:val="auto"/>
        </w:rPr>
        <w:t>CEO Right of First Refusal</w:t>
      </w:r>
      <w:r>
        <w:rPr>
          <w:rFonts w:ascii="Times New Roman" w:cs="Times New Roman" w:eastAsia="Times New Roman" w:hAnsi="Times New Roman"/>
          <w:sz w:val="18"/>
          <w:szCs w:val="18"/>
          <w:color w:val="auto"/>
        </w:rPr>
        <w:t>”). The CEO may elect to purchase only a portion of the equity interests proposed to be transferred by the Financial Investor, only if such partial purchase will not adversely affect the Financial Investor’s ability to transfer the remaining equity interests to a third party; otherwise, the CEO shall only have the right to purchase all, but not part, of such equity interests.</w:t>
      </w:r>
    </w:p>
    <w:p>
      <w:pPr>
        <w:spacing w:after="0" w:line="81"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If any Financial Investor proposes to transfer all or part of the equity interests in the Company held by it to any Person, such Financial Investor shall give prior written notice to the CEO (“</w:t>
      </w:r>
      <w:r>
        <w:rPr>
          <w:rFonts w:ascii="Times New Roman" w:cs="Times New Roman" w:eastAsia="Times New Roman" w:hAnsi="Times New Roman"/>
          <w:sz w:val="18"/>
          <w:szCs w:val="18"/>
          <w:b w:val="1"/>
          <w:bCs w:val="1"/>
          <w:color w:val="auto"/>
        </w:rPr>
        <w:t>Financial Investor Transfer Notice</w:t>
      </w:r>
      <w:r>
        <w:rPr>
          <w:rFonts w:ascii="Times New Roman" w:cs="Times New Roman" w:eastAsia="Times New Roman" w:hAnsi="Times New Roman"/>
          <w:sz w:val="18"/>
          <w:szCs w:val="18"/>
          <w:color w:val="auto"/>
        </w:rPr>
        <w:t>”), specifying the identity of the proposed transferee, the number of equity interests proposed to be transferred, the proposed transfer price and other key terms of the proposed transfer. If the CEO expressly waives its right to exercise, or fails to respond in writing within thirty (30) days after receipt of such notice, the CEO shall be deemed to have waived the CEO Right of First Refusal with respect to such proposed transfer. In such event, the Parties agree that such Financial Investor may, within ninety (90) days after delivery of the Financial Investor Transfer Notice, execute the definitive equity transfer agreement with the third party and complete the registration of such equity transfer with the Registration Authority on terms no more favorable than those specified in the Financial Investor Transfer Notice. If such Financial Investor fails to complete the equity transfer within such ninety (90)-day period, such Financial Investor shall not proceed with the equity transfer unless the CEO is again given the opportunity to exercise the CEO Right of First Refusal in accordance with this Section 4.1.3.</w:t>
      </w:r>
    </w:p>
    <w:p>
      <w:pPr>
        <w:spacing w:after="0" w:line="84"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If the CEO confirms its exercise of the CEO Right of First Refusal in accordance with the foregoing provisions, the CEO shall cooperate with such Financial Investor in executing all necessary documents and taking all necessary actions to complete the transfer of the relevant equity interests, including, without limitation, entering into the definitive equity transfer agreement and paying the transfer consideration within thirty (30) days from the date the CEO confirms the exercise of the CEO Right of First Refusal or within such longer period as may be agreed by the parties.</w:t>
      </w:r>
    </w:p>
    <w:p>
      <w:pPr>
        <w:spacing w:after="0" w:line="75" w:lineRule="exact"/>
        <w:rPr>
          <w:sz w:val="20"/>
          <w:szCs w:val="20"/>
          <w:color w:val="auto"/>
        </w:rPr>
      </w:pPr>
    </w:p>
    <w:p>
      <w:pPr>
        <w:ind w:left="440" w:hanging="254"/>
        <w:spacing w:after="0"/>
        <w:tabs>
          <w:tab w:leader="none" w:pos="4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above, each of the Key Management (other than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388" w:name="page389"/>
    <w:bookmarkEnd w:id="388"/>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CEO), Xinghan Zhilian and the Employee Shareholding Platforms hereby expressly waives any right of first refusal or any other rights relating to any transfer of equity interests by any Financial Investor to any third party (including any Affiliate of such Financial Investor), whether such rights arise under contractual arrangements or Applicable Law.</w:t>
      </w:r>
    </w:p>
    <w:p>
      <w:pPr>
        <w:spacing w:after="0" w:line="172"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4.1.4</w:t>
        <w:tab/>
        <w:t>For the purposes of this Section 4.1 only,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xml:space="preserve">” means any entity that engages in any business that directly or indirectly competes with the Principal Business of the Company. As of the date of this Agreement, the list of such Competitors is set forth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hereto. The CEO shall have the right, subject to the prior written consent of the director appointed by Xunlei and the director appointed by Kingsoft Cloud, to update the list of Competitors no more than once every six (6) months, and the CEO shall notify the Financial Investors in writing of any such updated list in accordance with Section 14.9 of this Agreement. Any such updated list shall not be binding upon the Financial Investors unless and until such written notice has been duly delivered. For the avoidance of doubt, the number of Competitors listed in Annex 2 and any updates thereto shall in no event exceed five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Investor Right of First Refusal</w:t>
      </w:r>
    </w:p>
    <w:p>
      <w:pPr>
        <w:spacing w:after="0" w:line="225"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4.2.1</w:t>
        <w:tab/>
        <w:t>Subject to Section 4.1 of this Agreement, if any Management Shareholder (“</w:t>
      </w:r>
      <w:r>
        <w:rPr>
          <w:rFonts w:ascii="Times New Roman" w:cs="Times New Roman" w:eastAsia="Times New Roman" w:hAnsi="Times New Roman"/>
          <w:sz w:val="18"/>
          <w:szCs w:val="18"/>
          <w:b w:val="1"/>
          <w:bCs w:val="1"/>
          <w:color w:val="auto"/>
        </w:rPr>
        <w:t>Transferring Shareholder</w:t>
      </w:r>
      <w:r>
        <w:rPr>
          <w:rFonts w:ascii="Times New Roman" w:cs="Times New Roman" w:eastAsia="Times New Roman" w:hAnsi="Times New Roman"/>
          <w:sz w:val="18"/>
          <w:szCs w:val="18"/>
          <w:color w:val="auto"/>
        </w:rPr>
        <w:t>”) proposes to transfer all or part of its equity interests in the Company or the economic interests corresponding thereto (“</w:t>
      </w:r>
      <w:r>
        <w:rPr>
          <w:rFonts w:ascii="Times New Roman" w:cs="Times New Roman" w:eastAsia="Times New Roman" w:hAnsi="Times New Roman"/>
          <w:sz w:val="18"/>
          <w:szCs w:val="18"/>
          <w:b w:val="1"/>
          <w:bCs w:val="1"/>
          <w:color w:val="auto"/>
        </w:rPr>
        <w:t>Proposed Transfer Equity</w:t>
      </w:r>
      <w:r>
        <w:rPr>
          <w:rFonts w:ascii="Times New Roman" w:cs="Times New Roman" w:eastAsia="Times New Roman" w:hAnsi="Times New Roman"/>
          <w:sz w:val="18"/>
          <w:szCs w:val="18"/>
          <w:color w:val="auto"/>
        </w:rPr>
        <w:t>”) to any Person (“</w:t>
      </w:r>
      <w:r>
        <w:rPr>
          <w:rFonts w:ascii="Times New Roman" w:cs="Times New Roman" w:eastAsia="Times New Roman" w:hAnsi="Times New Roman"/>
          <w:sz w:val="18"/>
          <w:szCs w:val="18"/>
          <w:b w:val="1"/>
          <w:bCs w:val="1"/>
          <w:color w:val="auto"/>
        </w:rPr>
        <w:t>Proposed Transferee</w:t>
      </w:r>
      <w:r>
        <w:rPr>
          <w:rFonts w:ascii="Times New Roman" w:cs="Times New Roman" w:eastAsia="Times New Roman" w:hAnsi="Times New Roman"/>
          <w:sz w:val="18"/>
          <w:szCs w:val="18"/>
          <w:color w:val="auto"/>
        </w:rPr>
        <w:t>”), the Investors (each, a “ROFR Holder”) shall have the right, but not the obligation, to purchase all or part of such Proposed Transfer Equity on a pro rata basis in accordance with their respective Pro Rata Equity Ratio on the same terms and conditions (“</w:t>
      </w:r>
      <w:r>
        <w:rPr>
          <w:rFonts w:ascii="Times New Roman" w:cs="Times New Roman" w:eastAsia="Times New Roman" w:hAnsi="Times New Roman"/>
          <w:sz w:val="18"/>
          <w:szCs w:val="18"/>
          <w:b w:val="1"/>
          <w:bCs w:val="1"/>
          <w:color w:val="auto"/>
        </w:rPr>
        <w:t>Investor Right of First Refusal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4.2.2</w:t>
        <w:tab/>
        <w:t>Subject to the exercise period of the Investor Right of First Refusal and the Over-Allotment Right (as defined below), the Transferring Shareholder shall deliver to each ROFR Holder a written notice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specifying the most recent details of the Proposed Transfer Equity, including the number of equity interests proposed to be transferred, the transfer price, the identity of the Proposed Transferee and other key terms relating to such Proposed Transfer Equity. Each ROFR Holder shall have the right, within thirty (30) days after receipt of the Transfer Notice (“</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to elect by written notice to the Transferring Shareholder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to purchase all or part of the Proposed Transfer Equity at the price and on the terms and conditions set forth in the Transfer Notice. If any ROFR Holder fails to deliver an Exercise Notice within the Notice Period, such ROFR Holder shall be deemed to have waived its Investor Right of First Refusal.</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7"/>
          <w:szCs w:val="17"/>
          <w:color w:val="auto"/>
        </w:rPr>
        <w:t>If any ROFR Holder does not elect to purchase all of the Proposed Transfer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9" w:name="page390"/>
    <w:bookmarkEnd w:id="389"/>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it is entitled to purchase pursuant to Section 4.2.2, the Transferring Shareholder shall deliver a Transfer Notice with respect to the remaining portion of the Proposed Transfer Equity to the other ROFR Holders that have elected to fully exercise their Investor Right of First Refusal. Such ROFR Holders shall have the right, within thirty (30) days after receipt of such Transfer Notice, to purchase such remaining portion of the Proposed Transfer Equity on a pro rata basis in accordance with their respective Pro Rata Equity Ratio (“</w:t>
      </w:r>
      <w:r>
        <w:rPr>
          <w:rFonts w:ascii="Times New Roman" w:cs="Times New Roman" w:eastAsia="Times New Roman" w:hAnsi="Times New Roman"/>
          <w:sz w:val="18"/>
          <w:szCs w:val="18"/>
          <w:b w:val="1"/>
          <w:bCs w:val="1"/>
          <w:color w:val="auto"/>
        </w:rPr>
        <w:t>Over-Allotment Right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4.2.4</w:t>
        <w:tab/>
        <w:t>With respect to any ROFR Holder that elects to exercise the Investor Right of First Refusal and/or the Over-Allotment Right, the Transferring Shareholder and such ROFR Holder shall promptly execute a definitive equity transfer agreement with respect to the Proposed Transfer Equity and complete the transfer of such equity interests at the transfer price and on the terms and conditions specified in the Transfer Notice.</w:t>
      </w:r>
    </w:p>
    <w:p>
      <w:pPr>
        <w:spacing w:after="0" w:line="180"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4.2.5</w:t>
        <w:tab/>
        <w:t>If any portion of the Proposed Transfer Equity remains unsold after completion of the procedures set forth in Sections 4.2.2 and 4.2.3, then subject to the Co-Sale Right under Section 4.3, the Transferring Shareholder may, after expiration of the applicable Notice Period, transfer such remaining Proposed Transfer Equity to the Proposed Transferee at a price and on terms and conditions no more favorable than those specified in the Transfer Notice.</w:t>
      </w:r>
    </w:p>
    <w:p>
      <w:pPr>
        <w:spacing w:after="0" w:line="180"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4.2.6</w:t>
        <w:tab/>
        <w:t>If the Proposed Transfer Equity is not transferred within ninety (90) days after expiration of the Notice Period, the Transferring Shareholder shall again comply in full with the provisions of this Section 4.2 prior to proceeding with any transfer of such unsold Proposed Transfer Equity, and the restrictions on sale, transfer, assignment or other disposition set forth in this Agreement shall again apply.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Co-Sale Right</w:t>
      </w:r>
    </w:p>
    <w:p>
      <w:pPr>
        <w:spacing w:after="0" w:line="229"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4.3.1</w:t>
        <w:tab/>
        <w:t>Subject to Section 4.1 of this Agreement, with respect to any Proposed Transfer Equity of the Transferring Shareholder, any Investor that has not exercised its Investor Right of First Refusal pursuant to Section 4.2 (each, a “</w:t>
      </w:r>
      <w:r>
        <w:rPr>
          <w:rFonts w:ascii="Times New Roman" w:cs="Times New Roman" w:eastAsia="Times New Roman" w:hAnsi="Times New Roman"/>
          <w:sz w:val="18"/>
          <w:szCs w:val="18"/>
          <w:b w:val="1"/>
          <w:bCs w:val="1"/>
          <w:color w:val="auto"/>
        </w:rPr>
        <w:t>Co-Sale Right Holder</w:t>
      </w:r>
      <w:r>
        <w:rPr>
          <w:rFonts w:ascii="Times New Roman" w:cs="Times New Roman" w:eastAsia="Times New Roman" w:hAnsi="Times New Roman"/>
          <w:sz w:val="18"/>
          <w:szCs w:val="18"/>
          <w:color w:val="auto"/>
        </w:rPr>
        <w:t>”) shall have the right, but not the obligation, to participate in such transfer and sell to the Proposed Transferee all or part of the equity interests in the Company held by such Co-Sale Right Holder in accordance with its Co-Sale Proportion (“</w:t>
      </w:r>
      <w:r>
        <w:rPr>
          <w:rFonts w:ascii="Times New Roman" w:cs="Times New Roman" w:eastAsia="Times New Roman" w:hAnsi="Times New Roman"/>
          <w:sz w:val="18"/>
          <w:szCs w:val="18"/>
          <w:b w:val="1"/>
          <w:bCs w:val="1"/>
          <w:color w:val="auto"/>
        </w:rPr>
        <w:t>Co-Sale Right</w:t>
      </w:r>
      <w:r>
        <w:rPr>
          <w:rFonts w:ascii="Times New Roman" w:cs="Times New Roman" w:eastAsia="Times New Roman" w:hAnsi="Times New Roman"/>
          <w:sz w:val="18"/>
          <w:szCs w:val="18"/>
          <w:color w:val="auto"/>
        </w:rPr>
        <w:t>”), and the Transferring Shareholder shall procure that the Proposed Transferee purchases the equity interests held by the Co-Sale Right Holder at the same price and on the same terms and conditions.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Subject to Section 4.3.2, the “</w:t>
      </w:r>
      <w:r>
        <w:rPr>
          <w:rFonts w:ascii="Times New Roman" w:cs="Times New Roman" w:eastAsia="Times New Roman" w:hAnsi="Times New Roman"/>
          <w:sz w:val="18"/>
          <w:szCs w:val="18"/>
          <w:b w:val="1"/>
          <w:bCs w:val="1"/>
          <w:color w:val="auto"/>
        </w:rPr>
        <w:t>Co-Sale Proportion</w:t>
      </w:r>
      <w:r>
        <w:rPr>
          <w:rFonts w:ascii="Times New Roman" w:cs="Times New Roman" w:eastAsia="Times New Roman" w:hAnsi="Times New Roman"/>
          <w:sz w:val="18"/>
          <w:szCs w:val="18"/>
          <w:color w:val="auto"/>
        </w:rPr>
        <w:t>” shall be calculated as follows:</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For each Co-Sale Right Holder exercising the Co-Sale Right: Co-Sale Proportion = the number of registered capital of the Company held by such Co-Sale Right Holder as of the date of the Transfer Notice ÷ (the aggregate number of registered capital of the Company held by all Co-Sale Right Holders exercising the Co-Sale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0" w:name="page391"/>
    <w:bookmarkEnd w:id="390"/>
    <w:p>
      <w:pPr>
        <w:ind w:left="640"/>
        <w:spacing w:after="0" w:line="282" w:lineRule="auto"/>
        <w:rPr>
          <w:sz w:val="20"/>
          <w:szCs w:val="20"/>
          <w:color w:val="auto"/>
        </w:rPr>
      </w:pPr>
      <w:r>
        <w:rPr>
          <w:rFonts w:ascii="Times New Roman" w:cs="Times New Roman" w:eastAsia="Times New Roman" w:hAnsi="Times New Roman"/>
          <w:sz w:val="18"/>
          <w:szCs w:val="18"/>
          <w:color w:val="auto"/>
        </w:rPr>
        <w:t>Right as of the date of the Transfer Notice + the number of registered capital of the Company held by the Transferring Shareholder as of the date of the Transfer Notice).</w:t>
      </w:r>
    </w:p>
    <w:p>
      <w:pPr>
        <w:spacing w:after="0" w:line="162" w:lineRule="exact"/>
        <w:rPr>
          <w:sz w:val="20"/>
          <w:szCs w:val="20"/>
          <w:color w:val="auto"/>
        </w:rPr>
      </w:pPr>
    </w:p>
    <w:p>
      <w:pPr>
        <w:jc w:val="both"/>
        <w:ind w:left="640" w:right="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4.3.2</w:t>
        <w:tab/>
        <w:t>Notwithstanding the foregoing, if the Proposed Transfer Equity by the Transferring Shareholder would result in a change of control of the Company, Xunlei and Kingsoft Cloud shall have the right, but not the obligation, to participate in the transfer by selling all of the equity interests in the Company held by them to the Proposed Transferee.</w:t>
      </w:r>
    </w:p>
    <w:p>
      <w:pPr>
        <w:spacing w:after="0" w:line="17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4.3.3</w:t>
        <w:tab/>
        <w:t>If any Co-Sale Right Holder elects to exercise its Co-Sale Right, such Co-Sale Right Holder shall deliver written notice prior to the expiration of the Notice Period specifying its election to exercise the Co-Sale Right and the number of equity interests it intends to sell.</w:t>
      </w:r>
    </w:p>
    <w:p>
      <w:pPr>
        <w:spacing w:after="0" w:line="176"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4.3.4</w:t>
        <w:tab/>
        <w:t>If any Co-Sale Right Holder exercises its Co-Sale Right but is unable to complete the sale of all or part of its equity interests due to failure to obtain consent from the Proposed Transferee, or failure to obtain any required approval, consent or waiver from any Governmental Authority (if required), or failure to complete any required registration or filing procedures, then, notwithstanding any provision of this Agreement to the contrary, the Transferring Shareholder shall not transfer any equity interests in the Company to the Proposed Transferee without the prior written consent of such Co-Sale Right Holder, unless the Transferring Shareholder purchases the equity interests intended to be transferred by the Co-Sale Right Holder at the same price and on the same terms and conditions offered by the Proposed Transferee.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color w:val="auto"/>
        </w:rPr>
        <w:t>General Provisions Relating to Equity Transfers</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4.4.1</w:t>
        <w:tab/>
        <w:t>Any transfer of equity interests in the Company conducted in violation of this Section 4 shall be null and void. The Parties shall not recognize any transfer of equity interests in the Company made in breach of this Section 4, and the Company shall not issue any certificate of equity interests to, or register in the register of shareholders, any Person that acquires equity interests in violation of this Section 4, nor shall the Company assist such Person in completing any registration or filing with the Registration Authority.</w:t>
      </w:r>
    </w:p>
    <w:p>
      <w:pPr>
        <w:spacing w:after="0" w:line="183"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4.4.2</w:t>
        <w:tab/>
        <w:t>Any transferee acquiring equity interests in the Company pursuant to this Section 4 shall have the capacity to assume and perform any outstanding duties, obligations and liabilities of the Transferring Shareholder under this Agreement and any related documents relating to the Proposed Transfer Equity (if applicable). The Transferring Shareholder shall procure that such transferee assumes all obligations and liabilities of the Transferring Shareholder under this Agreement, and such transferee shall agree in writing to be bound by all provisions of this Agreement. All provisions of this Agreement applicable to the Transferring Shareholder shall continue to apply to such transferee unless otherwise agreed in writing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1" w:name="page392"/>
    <w:bookmarkEnd w:id="391"/>
    <w:p>
      <w:pPr>
        <w:ind w:left="640"/>
        <w:spacing w:after="0" w:line="282" w:lineRule="auto"/>
        <w:rPr>
          <w:sz w:val="20"/>
          <w:szCs w:val="20"/>
          <w:color w:val="auto"/>
        </w:rPr>
      </w:pPr>
      <w:r>
        <w:rPr>
          <w:rFonts w:ascii="Times New Roman" w:cs="Times New Roman" w:eastAsia="Times New Roman" w:hAnsi="Times New Roman"/>
          <w:sz w:val="18"/>
          <w:szCs w:val="18"/>
          <w:color w:val="auto"/>
        </w:rPr>
        <w:t>Parties. Except as otherwise provided in this Agreement, this Agreement and the rights and obligations of the Parties hereunder shall inure to the benefit of and be binding upon the respective successors and permitted assigns of the Parties.</w:t>
      </w:r>
    </w:p>
    <w:p>
      <w:pPr>
        <w:spacing w:after="0" w:line="162"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4.4.3</w:t>
        <w:tab/>
        <w:t>Any liability of the Transferring Shareholder to the Company or other shareholders arising from any breach of this Agreement prior to the transfer of equity interests, and any related indemnification obligations, shall not be affected by such transfer.</w:t>
      </w:r>
    </w:p>
    <w:p>
      <w:pPr>
        <w:spacing w:after="0" w:line="162"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4.4.4</w:t>
        <w:tab/>
        <w:t>Each shareholder shall procure that its appointed director(s) (if any) and its authorized representative(s) at the shareholders’ meeting vote in favor of any transfer carried out in accordance with this Agreement. The Company agrees to assist the Transferring Shareholder in obtaining all necessary approvals, permits, licenses, registrations and filings from any Governmental Authority required to effect such transfer.</w:t>
      </w:r>
    </w:p>
    <w:p>
      <w:pPr>
        <w:spacing w:after="0" w:line="180"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4.4.5</w:t>
        <w:tab/>
        <w:t>Each shareholder hereby expressly agrees that, subject to Section 4.1 of this Agreement, in the event that any Financial Investor transfers any equity interests in the Company to any Person (including, without limitation, its Affiliates, other shareholders or third parties), the other shareholders hereby waive any right of first refusal or any similar rights that such shareholders may have under Applicable Law with respect to such transfer, and shall take all necessary and reasonable actions to cooperate with such transfer. The Parties hereby undertake that, in the event any Financial Investor transfers all or part of its equity interests in the Company to any third party, they shall take all necessary actions to assist the Financial Investor and the transferee in conducting due diligence, obtaining all necessary governmental approvals and completing all registrations and filings with relevant governmental authorities (including, without limitation, registration changes with the Registration Authority).</w:t>
      </w:r>
    </w:p>
    <w:p>
      <w:pPr>
        <w:spacing w:after="0" w:line="192" w:lineRule="exact"/>
        <w:rPr>
          <w:sz w:val="20"/>
          <w:szCs w:val="20"/>
          <w:color w:val="auto"/>
        </w:rPr>
      </w:pPr>
    </w:p>
    <w:p>
      <w:pPr>
        <w:jc w:val="both"/>
        <w:ind w:left="640" w:right="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4.4.6</w:t>
        <w:tab/>
        <w:t>With respect to each of Xunlei and Kingsoft Cloud, after its Full Recovery of Investment Cost, such Party shall no longer be entitled to the Investor Right of First Refusal set forth in Section 4.2 above, but shall continue to enjoy the Co-Sale Right set forth in Section 4.3.</w:t>
      </w:r>
    </w:p>
    <w:p>
      <w:pPr>
        <w:spacing w:after="0" w:line="172"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Section 5</w:t>
        <w:tab/>
        <w:t>Special Shareholder Rights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Pre-emptive Subscription Right</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5.1.1</w:t>
        <w:tab/>
        <w:t>Subject to Section 5.1.2, if the Company increases its registered capital or issues any equity securities, or any options, warrants, securities or bonds convertible into equity of the Company (collectively,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in accordance with the approval procedures set forth in this Agreement (“</w:t>
      </w:r>
      <w:r>
        <w:rPr>
          <w:rFonts w:ascii="Times New Roman" w:cs="Times New Roman" w:eastAsia="Times New Roman" w:hAnsi="Times New Roman"/>
          <w:sz w:val="18"/>
          <w:szCs w:val="18"/>
          <w:b w:val="1"/>
          <w:bCs w:val="1"/>
          <w:color w:val="auto"/>
        </w:rPr>
        <w:t>Proposed Issuance</w:t>
      </w:r>
      <w:r>
        <w:rPr>
          <w:rFonts w:ascii="Times New Roman" w:cs="Times New Roman" w:eastAsia="Times New Roman" w:hAnsi="Times New Roman"/>
          <w:sz w:val="18"/>
          <w:szCs w:val="18"/>
          <w:color w:val="auto"/>
        </w:rPr>
        <w:t>”), each Investor shall have the right, but not the obligation, to subscribe for the newly increased registered capital or Equity Securities comprised in such Proposed Issuance in proportion to its Pro Rata Equity Ratio in the Company on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2" w:name="page393"/>
    <w:bookmarkEnd w:id="392"/>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terms and conditions (“</w:t>
      </w:r>
      <w:r>
        <w:rPr>
          <w:rFonts w:ascii="Times New Roman" w:cs="Times New Roman" w:eastAsia="Times New Roman" w:hAnsi="Times New Roman"/>
          <w:sz w:val="18"/>
          <w:szCs w:val="18"/>
          <w:b w:val="1"/>
          <w:bCs w:val="1"/>
          <w:color w:val="auto"/>
        </w:rPr>
        <w:t>Pre-emptive Subscription Right</w:t>
      </w:r>
      <w:r>
        <w:rPr>
          <w:rFonts w:ascii="Times New Roman" w:cs="Times New Roman" w:eastAsia="Times New Roman" w:hAnsi="Times New Roman"/>
          <w:sz w:val="18"/>
          <w:szCs w:val="18"/>
          <w:color w:val="auto"/>
        </w:rPr>
        <w:t>”), except for the following circumstances: (A) any Proposed Issuance made for the purpose of implementing any equity incentive plan approved pursuant to this Agreement; (B) any increase in registered capital resulting from capitalization of profits on a pro rata basis, capitalization of capital reserve on a pro rata basis, conversion of net assets into share capital, distribution of bonus shares or share split that has been duly approved in accordance with this Agreement; (C) any increase in registered capital in connection with the Company’s acquisition of the majority of the assets, voting rights or equity interests of another company or entity through merger, acquisition, asset purchase or other restructuring (whether in a single transaction or a series of related transactions) approved pursuant to this Agreement; and (D) any increase in registered capital issued pursuant to anti-dilution adjustments in accordance with Section 5.2.</w:t>
      </w:r>
    </w:p>
    <w:p>
      <w:pPr>
        <w:spacing w:after="0" w:line="18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5.1.2</w:t>
        <w:tab/>
        <w:t>Subject to the exercise period of the Pre-emptive Subscription Right and the Over-Subscription Right (as defined below), at least thirty (30) days prior to any Proposed Issuance, the Company shall deliver to each shareholder a written notice describing the Proposed Issuance (“</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The Issuance Notice shall specify: (i) the amount, type and terms of the registered capital or Equity Securities to be issued; (ii) the consideration to be received by the Company upon completion of the Proposed Issuance; and (iii) the identity of the proposed subscriber(s). Once delivered, the Issuance Notice shall not be revoked.</w:t>
      </w:r>
    </w:p>
    <w:p>
      <w:pPr>
        <w:spacing w:after="0" w:line="183"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5.1.3</w:t>
        <w:tab/>
        <w:t>If any Investor elects to subscribe for the registered capital or Equity Securities in the Proposed Issuance, such Investor shall deliver a written notice to the Company within thirty (30) days after receipt of the Issuance Notice (“</w:t>
      </w:r>
      <w:r>
        <w:rPr>
          <w:rFonts w:ascii="Times New Roman" w:cs="Times New Roman" w:eastAsia="Times New Roman" w:hAnsi="Times New Roman"/>
          <w:sz w:val="18"/>
          <w:szCs w:val="18"/>
          <w:b w:val="1"/>
          <w:bCs w:val="1"/>
          <w:color w:val="auto"/>
        </w:rPr>
        <w:t>Pre-emptive Response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Subscription Notice</w:t>
      </w:r>
      <w:r>
        <w:rPr>
          <w:rFonts w:ascii="Times New Roman" w:cs="Times New Roman" w:eastAsia="Times New Roman" w:hAnsi="Times New Roman"/>
          <w:sz w:val="18"/>
          <w:szCs w:val="18"/>
          <w:color w:val="auto"/>
        </w:rPr>
        <w:t>”), specifying its decision to exercise the Pre-emptive Subscription Right and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capital or Equity Securities it elects to subscribe for. Any Investor that fails to deliver a Subscription Notice within the Pre-emptive Response Period shall be deemed to have waived its Pre-emptive Subscription Right.</w:t>
      </w:r>
    </w:p>
    <w:p>
      <w:pPr>
        <w:spacing w:after="0" w:line="183"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5.1.4</w:t>
        <w:tab/>
        <w:t>If any Investor does not subscribe in full for the registered capital or Equity Securities to which it is entitled pursuant to Section 5.1.3, the Company shall deliver an Issuance Notice with respect to the remaining portion of the registered capital or Equity Securities to the other Investors that have fully subscribed for their respective portions of the registered capital or Equity Securities. Such other Investors shall have the right, within thirty (30) days after receipt of such Issuance Notice, to subscribe for the remaining portion of the registered capital or Equity Securities in proportion to their respective Pro Rata Equity Ratio (“</w:t>
      </w:r>
      <w:r>
        <w:rPr>
          <w:rFonts w:ascii="Times New Roman" w:cs="Times New Roman" w:eastAsia="Times New Roman" w:hAnsi="Times New Roman"/>
          <w:sz w:val="18"/>
          <w:szCs w:val="18"/>
          <w:b w:val="1"/>
          <w:bCs w:val="1"/>
          <w:color w:val="auto"/>
        </w:rPr>
        <w:t>Over-Subscription Right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5.1.5</w:t>
        <w:tab/>
        <w:t>If, after completion of the procedures set forth in Sections 5.1.3 and 5.1.4, the total amount subscribed for does not reach the full amount of the registered capital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3" w:name="page394"/>
    <w:bookmarkEnd w:id="393"/>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Equity Securities proposed to be issued by the Company, the Company may, after expiration of the relevant notice period, issue the unsubscribed portion of the registered capital or Equity Securities to the proposed subscriber(s) at a price and on terms no more favorable than those set forth in the Issuance Notice.</w:t>
      </w:r>
    </w:p>
    <w:p>
      <w:pPr>
        <w:spacing w:after="0" w:line="17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5.1.6</w:t>
        <w:tab/>
        <w:t>If any Investor elects to exercise all or part of its Pre-emptive Subscription Right, the Company and the Guarantors shall procure that the Company takes all necessary actions to ensure that such shareholder can effectively exercise its Pre-emptive Subscription Right, including, without limitation, amending all agreements and the Articles of Association relating to future capital increases, and applying for approval of such amendments from the relevant Governmental Authorities.</w:t>
      </w:r>
    </w:p>
    <w:p>
      <w:pPr>
        <w:spacing w:after="0" w:line="180"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5.1.7</w:t>
        <w:tab/>
        <w:t>If the Proposed Issuance is not fully subscribed within ninety (90) days after expiration of the Pre-emptive Response Period, the issuance of the remaining portion shall again be subject to the procedures set forth in this Section 5.1.</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Anti-Dilution Right</w:t>
      </w:r>
    </w:p>
    <w:p>
      <w:pPr>
        <w:spacing w:after="0" w:line="229" w:lineRule="exact"/>
        <w:rPr>
          <w:sz w:val="20"/>
          <w:szCs w:val="20"/>
          <w:color w:val="auto"/>
        </w:rPr>
      </w:pPr>
    </w:p>
    <w:p>
      <w:pPr>
        <w:jc w:val="both"/>
        <w:ind w:left="640" w:hanging="634"/>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5.2.1</w:t>
        <w:tab/>
        <w:t>From the Closing Date, subject to Section 6.3 of this Agreement, if the Company conducts any subsequent equity financing in which a New Investor obtains a subscription price per RMB 1 of registered capital (being the total consideration paid by such New Investor for the newly subscribed registered capital divided by the amount of such newly subscribed registered capital, “</w:t>
      </w:r>
      <w:r>
        <w:rPr>
          <w:rFonts w:ascii="Times New Roman" w:cs="Times New Roman" w:eastAsia="Times New Roman" w:hAnsi="Times New Roman"/>
          <w:sz w:val="18"/>
          <w:szCs w:val="18"/>
          <w:b w:val="1"/>
          <w:bCs w:val="1"/>
          <w:color w:val="auto"/>
        </w:rPr>
        <w:t>New Investor Unit Price</w:t>
      </w:r>
      <w:r>
        <w:rPr>
          <w:rFonts w:ascii="Times New Roman" w:cs="Times New Roman" w:eastAsia="Times New Roman" w:hAnsi="Times New Roman"/>
          <w:sz w:val="18"/>
          <w:szCs w:val="18"/>
          <w:color w:val="auto"/>
        </w:rPr>
        <w:t>”) that is lower than the applicable Investor Unit Price of any Investor (such transaction, a “</w:t>
      </w:r>
      <w:r>
        <w:rPr>
          <w:rFonts w:ascii="Times New Roman" w:cs="Times New Roman" w:eastAsia="Times New Roman" w:hAnsi="Times New Roman"/>
          <w:sz w:val="18"/>
          <w:szCs w:val="18"/>
          <w:b w:val="1"/>
          <w:bCs w:val="1"/>
          <w:color w:val="auto"/>
        </w:rPr>
        <w:t>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Round</w:t>
      </w:r>
      <w:r>
        <w:rPr>
          <w:rFonts w:ascii="Times New Roman" w:cs="Times New Roman" w:eastAsia="Times New Roman" w:hAnsi="Times New Roman"/>
          <w:sz w:val="18"/>
          <w:szCs w:val="18"/>
          <w:color w:val="auto"/>
        </w:rPr>
        <w:t>”), the Investor affected by such Down Round (individually or collectively, “</w:t>
      </w:r>
      <w:r>
        <w:rPr>
          <w:rFonts w:ascii="Times New Roman" w:cs="Times New Roman" w:eastAsia="Times New Roman" w:hAnsi="Times New Roman"/>
          <w:sz w:val="18"/>
          <w:szCs w:val="18"/>
          <w:b w:val="1"/>
          <w:bCs w:val="1"/>
          <w:color w:val="auto"/>
        </w:rPr>
        <w:t>Anti-Dilution Right Holder(s)</w:t>
      </w:r>
      <w:r>
        <w:rPr>
          <w:rFonts w:ascii="Times New Roman" w:cs="Times New Roman" w:eastAsia="Times New Roman" w:hAnsi="Times New Roman"/>
          <w:sz w:val="18"/>
          <w:szCs w:val="18"/>
          <w:color w:val="auto"/>
        </w:rPr>
        <w: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have the Investor Unit Price applicable to all registered capital held by such Anti-Dilution Right Holder adjusted to the new unit price calculated in accordance with the following formula (“</w:t>
      </w:r>
      <w:r>
        <w:rPr>
          <w:rFonts w:ascii="Times New Roman" w:cs="Times New Roman" w:eastAsia="Times New Roman" w:hAnsi="Times New Roman"/>
          <w:sz w:val="18"/>
          <w:szCs w:val="18"/>
          <w:b w:val="1"/>
          <w:bCs w:val="1"/>
          <w:color w:val="auto"/>
        </w:rPr>
        <w:t>Adjusted Investor Unit Price</w:t>
      </w:r>
      <w:r>
        <w:rPr>
          <w:rFonts w:ascii="Times New Roman" w:cs="Times New Roman" w:eastAsia="Times New Roman" w:hAnsi="Times New Roman"/>
          <w:sz w:val="18"/>
          <w:szCs w:val="18"/>
          <w:color w:val="auto"/>
        </w:rPr>
        <w:t>”) (For the purposes of Section 5.2.1 only, a shareholder subscribing for newly increased registered capital of the Company shall be referred to as a “</w:t>
      </w:r>
      <w:r>
        <w:rPr>
          <w:rFonts w:ascii="Times New Roman" w:cs="Times New Roman" w:eastAsia="Times New Roman" w:hAnsi="Times New Roman"/>
          <w:sz w:val="18"/>
          <w:szCs w:val="18"/>
          <w:b w:val="1"/>
          <w:bCs w:val="1"/>
          <w:color w:val="auto"/>
        </w:rPr>
        <w:t>New Investor</w:t>
      </w:r>
      <w:r>
        <w:rPr>
          <w:rFonts w:ascii="Times New Roman" w:cs="Times New Roman" w:eastAsia="Times New Roman" w:hAnsi="Times New Roman"/>
          <w:sz w:val="18"/>
          <w:szCs w:val="18"/>
          <w:color w:val="auto"/>
        </w:rPr>
        <w:t>,” and the newly increased registered capital subscribed for by such shareholder shall be referred to as “</w:t>
      </w:r>
      <w:r>
        <w:rPr>
          <w:rFonts w:ascii="Times New Roman" w:cs="Times New Roman" w:eastAsia="Times New Roman" w:hAnsi="Times New Roman"/>
          <w:sz w:val="18"/>
          <w:szCs w:val="18"/>
          <w:b w:val="1"/>
          <w:bCs w:val="1"/>
          <w:color w:val="auto"/>
        </w:rPr>
        <w:t>Newly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Increased Registered Capital</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Adjusted Investor Unit Price = (total registered capital of the Company prior to the Down Round × Investor Unit Price of the Anti-Dilution Right Holder prior to the Down Round + the amount of newly increased registered capital actually obtained by the New Investor in the Down Round × New Investor Unit Price ) ÷ (total registered capital of the Company prior to the Down Round + the amount of newly increased registered capital actually obtained by the New Investor in the Down Round )</w:t>
      </w:r>
    </w:p>
    <w:p>
      <w:pPr>
        <w:spacing w:after="0" w:line="180"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For the avoidance of doubt, for purposes of the above formula, “total registered capital of the Company prior to the Down Round” refers to the total registered capital of the Company on a fully diluted basis, assuming that all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4" w:name="page395"/>
    <w:bookmarkEnd w:id="394"/>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and/or any other Persons have exercised their subscription rights, convertible bonds or other rights convertible into equity interests of the Company.</w:t>
      </w:r>
    </w:p>
    <w:p>
      <w:pPr>
        <w:spacing w:after="0" w:line="16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Each Anti-Dilution Right Holder shall have the right to adjust the number and percentage of equity interests in the Company held by such Anti-Dilution Right Holder so that such number and percentage of equity interests equal the number and percentage of equity interests that could have been obtained by applying the amount of its respective capital contribution (or investment amount, as applicable) at the Adjusted Investor Unit Price. Each Anti-Dilution Right Holder shall have the right to require the Company, the CEO and/or Xinghan Zhilian to take any and all appropriate measures (“</w:t>
      </w:r>
      <w:r>
        <w:rPr>
          <w:rFonts w:ascii="Times New Roman" w:cs="Times New Roman" w:eastAsia="Times New Roman" w:hAnsi="Times New Roman"/>
          <w:sz w:val="18"/>
          <w:szCs w:val="18"/>
          <w:b w:val="1"/>
          <w:bCs w:val="1"/>
          <w:color w:val="auto"/>
        </w:rPr>
        <w:t>Anti-Dilution Right</w:t>
      </w:r>
      <w:r>
        <w:rPr>
          <w:rFonts w:ascii="Times New Roman" w:cs="Times New Roman" w:eastAsia="Times New Roman" w:hAnsi="Times New Roman"/>
          <w:sz w:val="18"/>
          <w:szCs w:val="18"/>
          <w:color w:val="auto"/>
        </w:rPr>
        <w:t>”), including: (1) the issuance of additional equity interests in the Company to the Anti-Dilution Right Holder without consideration or at a nominal price acceptable to the Anti-Dilution Right Holder or at the lowest price permitted by Applicable Law; (2) the transfer by the CEO and/or Xinghan Zhilian of equity interests in the Company held by them to the Anti-Dilution Right Holder at a nominal price acceptable to the Anti-Dilution Right Holder or at the lowest price permitted by Applicable Law; (3) cash compensation by the Company, the CEO and/or Xinghan Zhilian to the Anti-Dilution Right Holder; and (4) the issuance of equity interests to the Anti-Dilution Right Holder by the Company through capitalization of capital reserve or undistributed profits (collectively, “</w:t>
      </w:r>
      <w:r>
        <w:rPr>
          <w:rFonts w:ascii="Times New Roman" w:cs="Times New Roman" w:eastAsia="Times New Roman" w:hAnsi="Times New Roman"/>
          <w:sz w:val="18"/>
          <w:szCs w:val="18"/>
          <w:b w:val="1"/>
          <w:bCs w:val="1"/>
          <w:color w:val="auto"/>
        </w:rPr>
        <w:t>Anti-Dilution Measures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Specifically, the respective capital contribution amounts (or investment amounts, as applicable) corresponding to each Anti-Dilution Right Holder shall be as follows solely for purposes of this Section 5.2: the total investment amount corresponding to the registered capital of RMB 76 million in the Company transferred by Xunlei to Kingsoft Cloud shall be deemed to be RMB 50 million; the total investment amount corresponding to the registered capital of RMB 114 million in the Company transferred by Xunlei to Xinghan Zhilian shall be deemed to be RMB 75 million; and the investment amount corresponding to the registered capital of RMB 76 million in the Company held by Xunlei shall be deemed to be RMB 76 million.</w:t>
      </w:r>
    </w:p>
    <w:p>
      <w:pPr>
        <w:spacing w:after="0" w:line="187"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5.2.2</w:t>
        <w:tab/>
        <w:t>If the equity interests in the Company held by any Anti-Dilution Right Holder are changed due to share split, share consolidation, capitalization of capital reserve, adjustment of capital structure or other similar circumstances, such Anti-Dilution Right Holder shall be entitled to corresponding anti-dilution adjustments to ensure that its rights under this Section 5.2 are not adversely affected. Notwithstanding the foregoing, the following circumstances shall not trigger the Anti-Dilution Right: (A) issuance of equity interests by the Company pursuant to any equity incentive plan approved in accordance with this Agreement;</w:t>
      </w:r>
    </w:p>
    <w:p>
      <w:pPr>
        <w:spacing w:after="0" w:line="3" w:lineRule="exact"/>
        <w:rPr>
          <w:sz w:val="20"/>
          <w:szCs w:val="20"/>
          <w:color w:val="auto"/>
        </w:rPr>
      </w:pPr>
    </w:p>
    <w:p>
      <w:pPr>
        <w:jc w:val="both"/>
        <w:ind w:left="640" w:firstLine="3"/>
        <w:spacing w:after="0" w:line="255" w:lineRule="auto"/>
        <w:tabs>
          <w:tab w:leader="none" w:pos="92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registered capital resulting from capitalization of profits on a pro rata basis, capitalization of capital reserve on a pro rata basis, conversion of net assets into share capital, distribution of bonus shares or share split duly approved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5" w:name="page396"/>
    <w:bookmarkEnd w:id="395"/>
    <w:p>
      <w:pPr>
        <w:jc w:val="both"/>
        <w:ind w:left="640" w:firstLine="6"/>
        <w:spacing w:after="0" w:line="266" w:lineRule="auto"/>
        <w:tabs>
          <w:tab w:leader="none" w:pos="943"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registered capital in connection with the Company’s acquisition of the majority of the assets, voting rights or equity interests of another company or entity through merger, acquisition, asset purchase or other restructuring (whether in a single transaction or a series of related transactions) approved in accordance with this Agreement.</w:t>
      </w:r>
    </w:p>
    <w:p>
      <w:pPr>
        <w:spacing w:after="0" w:line="176"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5.2.3</w:t>
        <w:tab/>
        <w:t>The Anti-Dilution Right Holder shall not be required to pay any consideration for the equity interests or corresponding registered capital obtained as a result of the implementation of the Anti-Dilution Measures (including the form consideration paid by the Anti-Dilution Right Holder for subscribing for registered capital of the Company and any taxes and fees incurred by the Anti-Dilution Right Holder as a result of the Anti-Dilution Measures), and the cost of such consideration shall be borne by the Company, the CEO and/or Xinghan Zhilian. In any event, any consideration paid by the Anti-Dilution Right Holder in connection with the exercise of the Anti-Dilution Right shall be fully reimbursed or returned to the Anti-Dilution Right Holder by the Company, the CEO and/or Xinghan Zhilian within five (5) days after such payment is actually made. Any taxes and fees arising from any equity transfer under this Section 5.2 shall be borne by the Company, the CEO and/or Xinghan Zhilian.</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Liquidation Preference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Closing Date, in the event that any Group Company undergoes a Liquidation Event (as defined below) or a Corporate Transaction, the proceeds distributable to shareholders from the disposition, sale or transfer of the assets of the Group Company (“</w:t>
      </w:r>
      <w:r>
        <w:rPr>
          <w:rFonts w:ascii="Times New Roman" w:cs="Times New Roman" w:eastAsia="Times New Roman" w:hAnsi="Times New Roman"/>
          <w:sz w:val="18"/>
          <w:szCs w:val="18"/>
          <w:b w:val="1"/>
          <w:bCs w:val="1"/>
          <w:color w:val="auto"/>
        </w:rPr>
        <w:t>Distributable Assets</w:t>
      </w:r>
      <w:r>
        <w:rPr>
          <w:rFonts w:ascii="Times New Roman" w:cs="Times New Roman" w:eastAsia="Times New Roman" w:hAnsi="Times New Roman"/>
          <w:sz w:val="18"/>
          <w:szCs w:val="18"/>
          <w:color w:val="auto"/>
        </w:rPr>
        <w:t>”) shall be distributed in the following order:</w:t>
      </w:r>
    </w:p>
    <w:p>
      <w:pPr>
        <w:spacing w:after="0" w:line="176"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5.3.1</w:t>
        <w:tab/>
        <w:t>First, the Financial Investors shall be entitled to receive, in priority to the other shareholders of the Company, an amount equal to the greater of the following amounts, plus all accrued but unpaid or declared but undistributed dividends corresponding to all registered capital of the Company held by the Financial Investors (“</w:t>
      </w:r>
      <w:r>
        <w:rPr>
          <w:rFonts w:ascii="Times New Roman" w:cs="Times New Roman" w:eastAsia="Times New Roman" w:hAnsi="Times New Roman"/>
          <w:sz w:val="18"/>
          <w:szCs w:val="18"/>
          <w:b w:val="1"/>
          <w:bCs w:val="1"/>
          <w:color w:val="auto"/>
        </w:rPr>
        <w:t>Financial Investor Liquidation Preference Amount</w:t>
      </w:r>
      <w:r>
        <w:rPr>
          <w:rFonts w:ascii="Times New Roman" w:cs="Times New Roman" w:eastAsia="Times New Roman" w:hAnsi="Times New Roman"/>
          <w:sz w:val="18"/>
          <w:szCs w:val="18"/>
          <w:color w:val="auto"/>
        </w:rPr>
        <w:t>”): (1) the aggregate amount of investment paid by the Financial Investors to acquire all registered capital of the Company then held by the Financial Investors; and (2) the fair market value of the equity interests in the Company then held by the Financial Investors.</w:t>
      </w:r>
    </w:p>
    <w:p>
      <w:pPr>
        <w:spacing w:after="0" w:line="18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For purposes of Sections 5.3.1 through 5.3.4: the total investment amount corresponding to the registered capital of RMB 76 million in the Company transferred by Xunlei to Kingsoft Cloud shall be RMB 50 million; the total investment amount corresponding to the registered capital of RMB 114 million in the Company transferred by Xunlei to Xinghan Zhilian shall be RMB 75 million; and the total investment amount corresponding to the registered capital of RMB 76 million in the Company held by Xunlei shall be RMB 332,297,400.</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5.3.2</w:t>
        <w:tab/>
        <w:t>Second, after full payment of the Financial Investor Liquidation Preference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6" w:name="page397"/>
    <w:bookmarkEnd w:id="396"/>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Amount, Xinghan Zhilian shall be entitled to receive, in priority to the remaining shareholders, the greater of the following amounts from the remaining Distributable Assets (</w:t>
      </w:r>
      <w:r>
        <w:rPr>
          <w:rFonts w:ascii="Times New Roman" w:cs="Times New Roman" w:eastAsia="Times New Roman" w:hAnsi="Times New Roman"/>
          <w:sz w:val="18"/>
          <w:szCs w:val="18"/>
          <w:b w:val="1"/>
          <w:bCs w:val="1"/>
          <w:color w:val="auto"/>
        </w:rPr>
        <w:t>“Xinghan Zhilian Liquidation Preference Amount</w:t>
      </w:r>
      <w:r>
        <w:rPr>
          <w:rFonts w:ascii="Times New Roman" w:cs="Times New Roman" w:eastAsia="Times New Roman" w:hAnsi="Times New Roman"/>
          <w:sz w:val="18"/>
          <w:szCs w:val="18"/>
          <w:color w:val="auto"/>
        </w:rPr>
        <w:t>,” together with the Financial Investor Liquidation Preference Amount, “</w:t>
      </w:r>
      <w:r>
        <w:rPr>
          <w:rFonts w:ascii="Times New Roman" w:cs="Times New Roman" w:eastAsia="Times New Roman" w:hAnsi="Times New Roman"/>
          <w:sz w:val="18"/>
          <w:szCs w:val="18"/>
          <w:b w:val="1"/>
          <w:bCs w:val="1"/>
          <w:color w:val="auto"/>
        </w:rPr>
        <w:t>Liquidation Preference Amount</w:t>
      </w:r>
      <w:r>
        <w:rPr>
          <w:rFonts w:ascii="Times New Roman" w:cs="Times New Roman" w:eastAsia="Times New Roman" w:hAnsi="Times New Roman"/>
          <w:sz w:val="18"/>
          <w:szCs w:val="18"/>
          <w:color w:val="auto"/>
        </w:rPr>
        <w:t>”): (1) the aggregate amount of investment paid by Xinghan Zhilian to acquire all registered capital of the Company then held by Xinghan Zhilian; and (2) the fair market value of the equity interests in the Company then held by Xinghan Zhilian.</w:t>
      </w:r>
    </w:p>
    <w:p>
      <w:pPr>
        <w:spacing w:after="0" w:line="183"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5.3.3</w:t>
        <w:tab/>
        <w:t>After full payment of the Liquidation Preference Amount, any remaining Distributable Assets shall be distributed among all shareholders (including the Investors) in proportion to their respective paid-in capital contributions.</w:t>
      </w:r>
    </w:p>
    <w:p>
      <w:pPr>
        <w:spacing w:after="0" w:line="162"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5.3.4</w:t>
        <w:tab/>
        <w:t>If the Liquidation Preference cannot be directly implemented due to PRC Laws or other reasons, the Investors may require all shareholders, after distributing the Distributable Assets in proportion to their respective equity interests, to take all effective measures permissible under Applicable Law to ensure that the Investors receive compensation in accordance with the priority set forth in Sections 5.3.1 through 5.3.3, to the maximum extent possible. All shareholders shall provide necessary cooperation, including voting in favor at shareholders’ meetings, procuring their appointed directors (if any) to vote in favor at board meetings, executing all relevant legal documents and obtaining consent from relevant internal and external parties. Each Guarantor (other than Xinghan Zhilian) undertakes to take effective measures to ensure that the Liquidation Preference Amounts to which the Investors are entitled shall not be adversely affected by escrow arrangements, payment structures or similar arrangements relating to the Liquidation Event or Corporate Transaction.</w:t>
      </w:r>
    </w:p>
    <w:p>
      <w:pPr>
        <w:spacing w:after="0" w:line="18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Repurchase Right</w:t>
      </w:r>
    </w:p>
    <w:p>
      <w:pPr>
        <w:spacing w:after="0" w:line="225" w:lineRule="exact"/>
        <w:rPr>
          <w:sz w:val="20"/>
          <w:szCs w:val="20"/>
          <w:color w:val="auto"/>
        </w:rPr>
      </w:pPr>
    </w:p>
    <w:p>
      <w:pPr>
        <w:jc w:val="both"/>
        <w:ind w:left="640" w:right="2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5.4.1</w:t>
        <w:tab/>
        <w:t>For purposes of the Investors, a repurchase event (</w:t>
      </w:r>
      <w:r>
        <w:rPr>
          <w:rFonts w:ascii="Times New Roman" w:cs="Times New Roman" w:eastAsia="Times New Roman" w:hAnsi="Times New Roman"/>
          <w:sz w:val="18"/>
          <w:szCs w:val="18"/>
          <w:b w:val="1"/>
          <w:bCs w:val="1"/>
          <w:color w:val="auto"/>
        </w:rPr>
        <w:t>“Repurchase Event</w:t>
      </w:r>
      <w:r>
        <w:rPr>
          <w:rFonts w:ascii="Times New Roman" w:cs="Times New Roman" w:eastAsia="Times New Roman" w:hAnsi="Times New Roman"/>
          <w:sz w:val="18"/>
          <w:szCs w:val="18"/>
          <w:color w:val="auto"/>
        </w:rPr>
        <w:t>”) shall be deemed to occur upon the occurrence of any of the following events (whichever occurs earlier):</w:t>
      </w:r>
    </w:p>
    <w:p>
      <w:pPr>
        <w:spacing w:after="0" w:line="159" w:lineRule="exact"/>
        <w:rPr>
          <w:sz w:val="20"/>
          <w:szCs w:val="20"/>
          <w:color w:val="auto"/>
        </w:rPr>
      </w:pPr>
    </w:p>
    <w:p>
      <w:pPr>
        <w:jc w:val="both"/>
        <w:ind w:left="1140" w:hanging="497"/>
        <w:spacing w:after="0" w:line="258" w:lineRule="auto"/>
        <w:tabs>
          <w:tab w:leader="none" w:pos="11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Guarantor materially breaches any material provision of the Transaction Documents (including breach of the equity transfer restrictions under Section 4, the liquidation preference provisions under Section 5.3, the shareholders’ meeting voting arrangements under Section 6.3, the board composition provisions under Section 7.1, the board voting arrangements under Section 7.4, and the full-time employment and non-compete obligations under Section 11), and fails to cure such breach within thirty (30) days after receipt of written notice from the Investors; or</w:t>
      </w:r>
    </w:p>
    <w:p>
      <w:pPr>
        <w:spacing w:after="0" w:line="183"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Shareholder engages in misappropriation or embezzlement of assets of any Group Company, or otherwise seriously breaches the principle of good faith or engages in any other malicious conduct resulting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7" w:name="page398"/>
    <w:bookmarkEnd w:id="397"/>
    <w:p>
      <w:pPr>
        <w:ind w:left="980"/>
        <w:spacing w:after="0"/>
        <w:rPr>
          <w:sz w:val="20"/>
          <w:szCs w:val="20"/>
          <w:color w:val="auto"/>
        </w:rPr>
      </w:pPr>
      <w:r>
        <w:rPr>
          <w:rFonts w:ascii="Times New Roman" w:cs="Times New Roman" w:eastAsia="Times New Roman" w:hAnsi="Times New Roman"/>
          <w:sz w:val="18"/>
          <w:szCs w:val="18"/>
          <w:color w:val="auto"/>
        </w:rPr>
        <w:t>material damage to the interests of the Group Company and/or the shareholders of the Company.</w:t>
      </w:r>
    </w:p>
    <w:p>
      <w:pPr>
        <w:spacing w:after="0" w:line="225"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5.4.2</w:t>
        <w:tab/>
        <w:t xml:space="preserve">Upon the occurrence of a Repurchase Event, if requested in writing by any Investor, the Group Companies (collectively, </w:t>
      </w:r>
      <w:r>
        <w:rPr>
          <w:rFonts w:ascii="Times New Roman" w:cs="Times New Roman" w:eastAsia="Times New Roman" w:hAnsi="Times New Roman"/>
          <w:sz w:val="18"/>
          <w:szCs w:val="18"/>
          <w:b w:val="1"/>
          <w:bCs w:val="1"/>
          <w:color w:val="auto"/>
        </w:rPr>
        <w:t>“Repurchase Obligors</w:t>
      </w:r>
      <w:r>
        <w:rPr>
          <w:rFonts w:ascii="Times New Roman" w:cs="Times New Roman" w:eastAsia="Times New Roman" w:hAnsi="Times New Roman"/>
          <w:sz w:val="18"/>
          <w:szCs w:val="18"/>
          <w:color w:val="auto"/>
        </w:rPr>
        <w:t>”) shall perform the repurchase obligations in accordance with this Agreement. Subject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5.4.5(i), the Investors shall have the right, individually or jointly, to deliver written notice to the Repurchase Obligors requesting that the Repurchase Obligors repurchase all or part of the equity interests in the Company held by such Investors at the Repurchase Price (as defined below). Pursuant to such written repurchase notice (as applicable), the Repurchase Obligors shall perform their repurchase obligations in a manner satisfactory to the relevant repurchase right holders (as defined below) and in compliance with Applicable Law, including but not limited to repurchase through capital reduction, profit distribution, equity transfer, dissolution and liquidation, or any other method compliant with Applicable Law and agreed by such repurchase right holders.</w:t>
      </w:r>
    </w:p>
    <w:p>
      <w:pPr>
        <w:spacing w:after="0" w:line="18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5.4.3</w:t>
      </w:r>
      <w:r>
        <w:rPr>
          <w:sz w:val="20"/>
          <w:szCs w:val="20"/>
          <w:color w:val="auto"/>
        </w:rPr>
        <w:tab/>
      </w:r>
      <w:r>
        <w:rPr>
          <w:rFonts w:ascii="Times New Roman" w:cs="Times New Roman" w:eastAsia="Times New Roman" w:hAnsi="Times New Roman"/>
          <w:sz w:val="17"/>
          <w:szCs w:val="17"/>
          <w:color w:val="auto"/>
        </w:rPr>
        <w:t>With respect to each Investor, the repurchase price (“</w:t>
      </w:r>
      <w:r>
        <w:rPr>
          <w:rFonts w:ascii="Times New Roman" w:cs="Times New Roman" w:eastAsia="Times New Roman" w:hAnsi="Times New Roman"/>
          <w:sz w:val="17"/>
          <w:szCs w:val="17"/>
          <w:b w:val="1"/>
          <w:bCs w:val="1"/>
          <w:color w:val="auto"/>
        </w:rPr>
        <w:t>Repurchase Price</w:t>
      </w:r>
      <w:r>
        <w:rPr>
          <w:rFonts w:ascii="Times New Roman" w:cs="Times New Roman" w:eastAsia="Times New Roman" w:hAnsi="Times New Roman"/>
          <w:sz w:val="17"/>
          <w:szCs w:val="17"/>
          <w:color w:val="auto"/>
        </w:rPr>
        <w:t>”) shall be calculated as follows:</w:t>
      </w:r>
    </w:p>
    <w:p>
      <w:pPr>
        <w:spacing w:after="0" w:line="229" w:lineRule="exact"/>
        <w:rPr>
          <w:sz w:val="20"/>
          <w:szCs w:val="20"/>
          <w:color w:val="auto"/>
        </w:rPr>
      </w:pPr>
    </w:p>
    <w:p>
      <w:pPr>
        <w:jc w:val="both"/>
        <w:ind w:left="1140" w:hanging="497"/>
        <w:spacing w:after="0" w:line="261" w:lineRule="auto"/>
        <w:tabs>
          <w:tab w:leader="none" w:pos="11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be entitled to receive, for each RMB 1 of registered capital of the Company held by such Investor, the greater of the following amounts, plus all accrued but unpaid or declared but undistributed dividends corresponding to such equity interests (“</w:t>
      </w:r>
      <w:r>
        <w:rPr>
          <w:rFonts w:ascii="Times New Roman" w:cs="Times New Roman" w:eastAsia="Times New Roman" w:hAnsi="Times New Roman"/>
          <w:sz w:val="18"/>
          <w:szCs w:val="18"/>
          <w:b w:val="1"/>
          <w:bCs w:val="1"/>
          <w:color w:val="auto"/>
        </w:rPr>
        <w:t>Repurchase Unit Price</w:t>
      </w:r>
      <w:r>
        <w:rPr>
          <w:rFonts w:ascii="Times New Roman" w:cs="Times New Roman" w:eastAsia="Times New Roman" w:hAnsi="Times New Roman"/>
          <w:sz w:val="18"/>
          <w:szCs w:val="18"/>
          <w:color w:val="auto"/>
        </w:rPr>
        <w:t>”): (a) the fair market value of each RMB 1 of registered capital of the Company; and (b) the applicable Investor Unit Price.</w:t>
      </w:r>
    </w:p>
    <w:p>
      <w:pPr>
        <w:spacing w:after="0" w:line="179"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Price = Repurchase Unit Price × the registered capital of the Company corresponding to the equity interests for which the Investor requests repurchase.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5.4.4</w:t>
      </w:r>
      <w:r>
        <w:rPr>
          <w:sz w:val="20"/>
          <w:szCs w:val="20"/>
          <w:color w:val="auto"/>
        </w:rPr>
        <w:tab/>
      </w:r>
      <w:r>
        <w:rPr>
          <w:rFonts w:ascii="Times New Roman" w:cs="Times New Roman" w:eastAsia="Times New Roman" w:hAnsi="Times New Roman"/>
          <w:sz w:val="17"/>
          <w:szCs w:val="17"/>
          <w:color w:val="auto"/>
        </w:rPr>
        <w:t>Repurchase Procedures</w:t>
      </w:r>
    </w:p>
    <w:p>
      <w:pPr>
        <w:spacing w:after="0" w:line="225" w:lineRule="exact"/>
        <w:rPr>
          <w:sz w:val="20"/>
          <w:szCs w:val="20"/>
          <w:color w:val="auto"/>
        </w:rPr>
      </w:pPr>
    </w:p>
    <w:p>
      <w:pPr>
        <w:jc w:val="both"/>
        <w:ind w:left="1140" w:hanging="497"/>
        <w:spacing w:after="0" w:line="258" w:lineRule="auto"/>
        <w:tabs>
          <w:tab w:leader="none" w:pos="11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receipt of any repurchase notice from any Investor, the Repurchase Obligors shall deliver written notice to the other Investors specifying the Repurchase Event, the number of equity interests requested to be repurchased and the Repurchase Price. The Repurchase Obligors shall, within one (1) month after receipt of any repurchase notice from any Investor, purchase the relevant equity interests and pay the repurchase amount to the Investor exercising the Repurchase Right.</w:t>
      </w:r>
    </w:p>
    <w:p>
      <w:pPr>
        <w:spacing w:after="0" w:line="183" w:lineRule="exact"/>
        <w:rPr>
          <w:rFonts w:ascii="Times New Roman" w:cs="Times New Roman" w:eastAsia="Times New Roman" w:hAnsi="Times New Roman"/>
          <w:sz w:val="18"/>
          <w:szCs w:val="18"/>
          <w:color w:val="auto"/>
        </w:rPr>
      </w:pPr>
    </w:p>
    <w:p>
      <w:pPr>
        <w:ind w:left="1140" w:right="20" w:hanging="497"/>
        <w:spacing w:after="0" w:line="282" w:lineRule="auto"/>
        <w:tabs>
          <w:tab w:leader="none" w:pos="11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Obligors shall bear joint and several liability at the same priority level for payment of the above repurchase amount.</w:t>
      </w:r>
    </w:p>
    <w:p>
      <w:pPr>
        <w:spacing w:after="0" w:line="162"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5.4.5</w:t>
        <w:tab/>
        <w:t>If multiple Investors elect to exercise the Repurchase Right simultaneously and the Repurchase Obligors are unable to pay the full Repurchase Price in full,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8" w:name="page399"/>
    <w:bookmarkEnd w:id="398"/>
    <w:p>
      <w:pPr>
        <w:ind w:left="640"/>
        <w:spacing w:after="0"/>
        <w:rPr>
          <w:sz w:val="20"/>
          <w:szCs w:val="20"/>
          <w:color w:val="auto"/>
        </w:rPr>
      </w:pPr>
      <w:r>
        <w:rPr>
          <w:rFonts w:ascii="Times New Roman" w:cs="Times New Roman" w:eastAsia="Times New Roman" w:hAnsi="Times New Roman"/>
          <w:sz w:val="18"/>
          <w:szCs w:val="18"/>
          <w:color w:val="auto"/>
        </w:rPr>
        <w:t>repurchase price shall be distributed in the following order of priority:</w:t>
      </w:r>
    </w:p>
    <w:p>
      <w:pPr>
        <w:spacing w:after="0" w:line="225" w:lineRule="exact"/>
        <w:rPr>
          <w:sz w:val="20"/>
          <w:szCs w:val="20"/>
          <w:color w:val="auto"/>
        </w:rPr>
      </w:pPr>
    </w:p>
    <w:p>
      <w:pPr>
        <w:ind w:left="1140" w:hanging="497"/>
        <w:spacing w:after="0"/>
        <w:tabs>
          <w:tab w:leader="none" w:pos="11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Financial Investors shall have priority over the other shareholders of the Company;</w:t>
      </w:r>
    </w:p>
    <w:p>
      <w:pPr>
        <w:spacing w:after="0" w:line="225"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after full payment of the Repurchase Price to the Financial Investors, Xinghan Zhilian shall have priority over the other shareholders of the Company (other than the Financial Investors).</w:t>
      </w:r>
    </w:p>
    <w:p>
      <w:pPr>
        <w:spacing w:after="0" w:line="162"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If the Repurchase Price cannot be fully paid to all Investors within the same priority level, such Investors within the same priority level shall receive payment in proportion to the respective Repurchase Price amounts to which they are entitled under this Agreement.</w:t>
      </w:r>
    </w:p>
    <w:p>
      <w:pPr>
        <w:spacing w:after="0" w:line="176" w:lineRule="exact"/>
        <w:rPr>
          <w:sz w:val="20"/>
          <w:szCs w:val="20"/>
          <w:color w:val="auto"/>
        </w:rPr>
      </w:pPr>
    </w:p>
    <w:p>
      <w:pPr>
        <w:jc w:val="both"/>
        <w:ind w:left="640" w:right="2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5.4.6</w:t>
        <w:tab/>
        <w:t>Until the Repurchase Price corresponding to all equity interests of the relevant repurchase right holders has been fully paid, such repurchase right holders shall continue to enjoy full shareholder rights under Applicable Law and this Agreement with respect to the equity interests for which the Repurchase Price has not been fully paid, including the right to appoint directors (if applicable). The Guarantors shall ensure such director appointments and tenure.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Equity Incentive Plan</w:t>
      </w:r>
    </w:p>
    <w:p>
      <w:pPr>
        <w:spacing w:after="0" w:line="225"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5.5.1</w:t>
        <w:tab/>
        <w:t>Each Guarantor (other than Xinghan Zhilian) hereby confirms to the Investors that, from the Closing Date, all equity interests in the Company held by Nanjing Kehui, Nanjing Yimang, Nanjing Yuxin and Nanjing Zhihui (corresponding in aggregate to registered capital of RMB 57 million in the Company) are held for purposes of implementing the equity incentive plan. The equity interests subject to conditional repurchase and/or options held by the partners of the relevant Employee Shareholding Platforms, the corresponding registered capital of the Company and the vesting of related equity interests shall be governed by the equity incentive plan of the Company.</w:t>
      </w:r>
    </w:p>
    <w:p>
      <w:pPr>
        <w:spacing w:after="0" w:line="187"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5.5.2</w:t>
        <w:tab/>
        <w:t>The Guarantors undertake that, if any new equity incentive is implemented by the Company after the Closing Date, unless such equity incentive has been approved under Section 6.1, the implementation of such new equity incentive plan shall not dilute the shareholding percentage of the Investors in the Company.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Applicability of Preferential Rights</w:t>
      </w:r>
    </w:p>
    <w:p>
      <w:pPr>
        <w:spacing w:after="0" w:line="225"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5.6.1</w:t>
        <w:tab/>
        <w:t>With respect to each of Xunlei and Kingsoft Cloud, after its Full Recovery of Investment Cost, such Party shall no longer be entitled to the Pre-emptive Subscription Right, Anti-Dilution Right, Liquidation Preference or Repurchase Right set forth in Sections 5.1, 5.2, 5.3 and 5.4 above. If both Xunlei and Kingsoft Cloud have achieved Full Recovery of Investment Cost, Xinghan Zhilian shall likewise no longer be entitled to the Pre-emptive Subscription Right, Anti-Dilution Right, Liquidation Preference or Repurchase Right set forth in Sections 5.1, 5.2, 5.3 and 5.4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9" w:name="page400"/>
    <w:bookmarkEnd w:id="399"/>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Shareholders’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Powers of the Shareholders’ Meeting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as otherwise provided under the Company Law, resolutions on the following matters relating to the Company shall be adopted by the shareholders’ meeting (for the avoidance of doubt, references to the “Company” in this Section shall include all Group Companies):</w:t>
      </w:r>
    </w:p>
    <w:p>
      <w:pPr>
        <w:spacing w:after="0" w:line="176" w:lineRule="exact"/>
        <w:rPr>
          <w:sz w:val="20"/>
          <w:szCs w:val="20"/>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reports of 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reports of the supervisor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profit distribution plan and loss recovery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any increase or reduction of the registered capital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any merger, division, dissolution, liquidation, change of corporate form, restructuring, bankruptcy or any transaction involving a Corporate Transaction or a Liquidation Event;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the provision of guarantees for any shareholder of the Company, or approving the provision of loans or guarantees to any entity or individual other than wholly-owned subsidiaries;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authorizing the creation of, or issuing any Equity Securities at a price per RMB 1 of registered capital equal to RMB 1 per RMB 1 of registered capital of the Company (excluding options or equity issued pursuant to any equity incentive plan approved under this Agreement); or making any materially adverse modification to the rights, preferences, powers or privileges attached to the equity interests in the Company held by the Investors, or imposing any additional restrictions established for the benefit of the Investors;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redeeming any Equity Securities of the Company or declaring or paying any dividends in respect of such Equity Securities, excluding any repurchase pursuant to Section 5.4 and any redemption pursuant to any equity incentive plan approved under this Agreement;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any change to the number of members of the board of directors of the Company or any change to the rights to appoint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restating the Articles of Association;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newly established equity incentive pool or any expansion of an existing equity incentive pool;</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equity incentive plan of any Group Company, any template form of equity incentive agreement, and any amendment thereto;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0" w:name="page401"/>
    <w:bookmarkEnd w:id="400"/>
    <w:p>
      <w:pPr>
        <w:ind w:left="1140" w:right="20" w:hanging="497"/>
        <w:spacing w:after="0" w:line="282" w:lineRule="auto"/>
        <w:tabs>
          <w:tab w:leader="none" w:pos="11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Principal Business of any Group Company, entering into any new line of business, or voluntarily exiting any existing line of business;</w:t>
      </w:r>
    </w:p>
    <w:p>
      <w:pPr>
        <w:spacing w:after="0" w:line="161" w:lineRule="exact"/>
        <w:rPr>
          <w:rFonts w:ascii="Times New Roman" w:cs="Times New Roman" w:eastAsia="Times New Roman" w:hAnsi="Times New Roman"/>
          <w:sz w:val="18"/>
          <w:szCs w:val="18"/>
          <w:color w:val="auto"/>
        </w:rPr>
      </w:pPr>
    </w:p>
    <w:p>
      <w:pPr>
        <w:jc w:val="both"/>
        <w:ind w:left="1140" w:hanging="497"/>
        <w:spacing w:after="0" w:line="266" w:lineRule="auto"/>
        <w:tabs>
          <w:tab w:leader="none" w:pos="11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selection of the sponsor, stock exchange and the terms, conditions and valuation relating to the initial public offering of any Group Company, including any restructuring or other preparatory actions for such offering or listing; and</w:t>
      </w:r>
    </w:p>
    <w:p>
      <w:pPr>
        <w:spacing w:after="0" w:line="17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are required under applicable laws or regulations to be approved by the shareholders’ meeting.</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Procedures of Shareholders’ Meetings</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6.2.1</w:t>
        <w:tab/>
        <w:t>Subject to the adjournment mechanism set forth in Section 6.2.2, a shareholders’ meeting shall be duly constituted only if shareholders holding more than one-half of the voting rights of the Company are present in person or by proxy, including all Financial Investors. Any resolution adopted at a shareholders’ meeting that does not meet such quorum requirement shall be invalid.</w:t>
      </w:r>
    </w:p>
    <w:p>
      <w:pPr>
        <w:spacing w:after="0" w:line="180"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6.2.2</w:t>
        <w:tab/>
        <w:t>The Company shall give written notice of any shareholders’ meeting to each shareholder at least fifteen (15) Business Days prior to the meeting. If any Financial Investor fails to attend the scheduled shareholders’ meeting on time, the Company shall deliver an adjournment notice to all shareholders, postponing the meeting to the same time and place five (5) Business Days thereafter (“</w:t>
      </w:r>
      <w:r>
        <w:rPr>
          <w:rFonts w:ascii="Times New Roman" w:cs="Times New Roman" w:eastAsia="Times New Roman" w:hAnsi="Times New Roman"/>
          <w:sz w:val="18"/>
          <w:szCs w:val="18"/>
          <w:b w:val="1"/>
          <w:bCs w:val="1"/>
          <w:color w:val="auto"/>
        </w:rPr>
        <w:t>First Adjourned Shareholders’ Meeting</w:t>
      </w:r>
      <w:r>
        <w:rPr>
          <w:rFonts w:ascii="Times New Roman" w:cs="Times New Roman" w:eastAsia="Times New Roman" w:hAnsi="Times New Roman"/>
          <w:sz w:val="18"/>
          <w:szCs w:val="18"/>
          <w:color w:val="auto"/>
        </w:rPr>
        <w:t>”). If any Financial Investor fails to attend the First Adjourned Shareholders’ Meeting on time, the Company shall deliver another adjournment notice to all shareholders, postponing the meeting to the same time and place five (5) Business Days thereafter (“</w:t>
      </w:r>
      <w:r>
        <w:rPr>
          <w:rFonts w:ascii="Times New Roman" w:cs="Times New Roman" w:eastAsia="Times New Roman" w:hAnsi="Times New Roman"/>
          <w:sz w:val="18"/>
          <w:szCs w:val="18"/>
          <w:b w:val="1"/>
          <w:bCs w:val="1"/>
          <w:color w:val="auto"/>
        </w:rPr>
        <w:t>Second Adjourned Shareholders’ Meeting</w:t>
      </w:r>
      <w:r>
        <w:rPr>
          <w:rFonts w:ascii="Times New Roman" w:cs="Times New Roman" w:eastAsia="Times New Roman" w:hAnsi="Times New Roman"/>
          <w:sz w:val="18"/>
          <w:szCs w:val="18"/>
          <w:color w:val="auto"/>
        </w:rPr>
        <w:t>”). At the Second Adjourned Shareholders’ Meeting, the quorum requirement shall be deemed satisfied if shareholders holding more than one-half of the voting rights of the Company are present in person or by proxy; provided that only the matters specified in the written notice of the shareholders’ meeting may be discussed and resolved (if applicable).</w:t>
      </w:r>
    </w:p>
    <w:p>
      <w:pPr>
        <w:spacing w:after="0" w:line="188" w:lineRule="exact"/>
        <w:rPr>
          <w:sz w:val="20"/>
          <w:szCs w:val="20"/>
          <w:color w:val="auto"/>
        </w:rPr>
      </w:pPr>
    </w:p>
    <w:p>
      <w:pPr>
        <w:jc w:val="both"/>
        <w:ind w:left="640" w:right="20" w:hanging="634"/>
        <w:spacing w:after="0" w:line="312" w:lineRule="auto"/>
        <w:tabs>
          <w:tab w:leader="none" w:pos="620"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7"/>
          <w:szCs w:val="17"/>
          <w:color w:val="auto"/>
        </w:rPr>
        <w:t>To the extent that this Section 6 does not provide specific procedural rules for shareholders’ meetings, the procedures set forth in the Articles of Association shall apply, provided that such procedures do not conflict with this Section 6 or the Company Law.</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b w:val="1"/>
          <w:bCs w:val="1"/>
          <w:color w:val="auto"/>
        </w:rPr>
        <w:t>Voting at Shareholders’ Meetings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6.3.1</w:t>
      </w:r>
      <w:r>
        <w:rPr>
          <w:sz w:val="20"/>
          <w:szCs w:val="20"/>
          <w:color w:val="auto"/>
        </w:rPr>
        <w:tab/>
      </w:r>
      <w:r>
        <w:rPr>
          <w:rFonts w:ascii="Times New Roman" w:cs="Times New Roman" w:eastAsia="Times New Roman" w:hAnsi="Times New Roman"/>
          <w:sz w:val="17"/>
          <w:szCs w:val="17"/>
          <w:color w:val="auto"/>
        </w:rPr>
        <w:t>Voting Requirements</w:t>
      </w:r>
    </w:p>
    <w:p>
      <w:pPr>
        <w:spacing w:after="0" w:line="225"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Unless otherwise required by applicable laws, the matters set forth in Section 6.1 shall be approved only if the following conditions are satisfied (“</w:t>
      </w:r>
      <w:r>
        <w:rPr>
          <w:rFonts w:ascii="Times New Roman" w:cs="Times New Roman" w:eastAsia="Times New Roman" w:hAnsi="Times New Roman"/>
          <w:sz w:val="18"/>
          <w:szCs w:val="18"/>
          <w:b w:val="1"/>
          <w:bCs w:val="1"/>
          <w:color w:val="auto"/>
        </w:rPr>
        <w:t>Shareholders’ Resolution Approval Requirements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020" w:hanging="391"/>
        <w:spacing w:after="0"/>
        <w:tabs>
          <w:tab w:leader="none" w:pos="10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set forth in Sections 6.1(iv), 6.1(v), 6.1(vi), 6.1(viii) and 6.1(x)</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1" w:name="page402"/>
    <w:bookmarkEnd w:id="401"/>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shall be approved by shareholders holding two-thirds or more of the voting rights of the Company present in person or by proxy; the other matters set forth in Section 6.1 shall be approved by shareholders holding more than one-half of the voting rights of the Company present in person or by proxy;</w:t>
      </w:r>
    </w:p>
    <w:p>
      <w:pPr>
        <w:spacing w:after="0" w:line="176" w:lineRule="exact"/>
        <w:rPr>
          <w:sz w:val="20"/>
          <w:szCs w:val="20"/>
          <w:color w:val="auto"/>
        </w:rPr>
      </w:pPr>
    </w:p>
    <w:p>
      <w:pPr>
        <w:jc w:val="both"/>
        <w:ind w:left="980" w:hanging="324"/>
        <w:spacing w:after="0" w:line="256" w:lineRule="auto"/>
        <w:tabs>
          <w:tab w:leader="none" w:pos="9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(A)approval of the matters set forth in Sections 6.1(v), 6.1(vii), 6.1(ix) and 6.1(xi) through 6.1(xiv) shall require the affirmative vote of all Investors; and (B) with respect to Section 6.1(iii), if the dividend distribution ratio of the Company exceeds sixty percent (60%) of the audited net profit of the preceding fiscal year, the approval of all Investors shall also be required; (C) with respect to each of Xunlei and Kingsoft Cloud, after its Full Recovery of Investment Cost, approval of the above matters shall no longer be subject to the affirmative vote of such Party; provided that such matters shall still be submitted to the shareholders’ meeting for approval under Section 6.3.1(1).</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6.3.2</w:t>
      </w:r>
      <w:r>
        <w:rPr>
          <w:sz w:val="20"/>
          <w:szCs w:val="20"/>
          <w:color w:val="auto"/>
        </w:rPr>
        <w:tab/>
      </w:r>
      <w:r>
        <w:rPr>
          <w:rFonts w:ascii="Times New Roman" w:cs="Times New Roman" w:eastAsia="Times New Roman" w:hAnsi="Times New Roman"/>
          <w:sz w:val="17"/>
          <w:szCs w:val="17"/>
          <w:color w:val="auto"/>
        </w:rPr>
        <w:t>Written Consent</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With respect to matters requiring resolution by the shareholders’ meeting, if all shareholders unanimously provide written consent, a resolution may be adopted without convening a shareholders’ meeting, and all shareholders shall execute the written resolution document.</w:t>
      </w:r>
    </w:p>
    <w:p>
      <w:pPr>
        <w:spacing w:after="0" w:line="172"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Board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Composition of the Board of Directors</w:t>
      </w:r>
    </w:p>
    <w:p>
      <w:pPr>
        <w:spacing w:after="0" w:line="229"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7.1.1</w:t>
        <w:tab/>
        <w:t>The Company shall establish a board of directors (the “Board”), which shall consist of directors elected by the shareholders in accordance with the procedures and conditions set forth in this Agreement and the Articles of Association. The Board shall consist of five (5) directors, of whom the CEO and Xinghan Zhilian shall have the right to jointly nominate three (3) directors, Kingsoft Cloud shall have the right to nominate one (1) director for so long as it holds equity interests in the Company (“</w:t>
      </w:r>
      <w:r>
        <w:rPr>
          <w:rFonts w:ascii="Times New Roman" w:cs="Times New Roman" w:eastAsia="Times New Roman" w:hAnsi="Times New Roman"/>
          <w:sz w:val="18"/>
          <w:szCs w:val="18"/>
          <w:b w:val="1"/>
          <w:bCs w:val="1"/>
          <w:color w:val="auto"/>
        </w:rPr>
        <w:t>Kingsoft Cloud Director</w:t>
      </w:r>
      <w:r>
        <w:rPr>
          <w:rFonts w:ascii="Times New Roman" w:cs="Times New Roman" w:eastAsia="Times New Roman" w:hAnsi="Times New Roman"/>
          <w:sz w:val="18"/>
          <w:szCs w:val="18"/>
          <w:color w:val="auto"/>
        </w:rPr>
        <w:t>”), and Xunlei shall have the right to nominate one (1) director for so long as it holds equity interests in the Company (“</w:t>
      </w:r>
      <w:r>
        <w:rPr>
          <w:rFonts w:ascii="Times New Roman" w:cs="Times New Roman" w:eastAsia="Times New Roman" w:hAnsi="Times New Roman"/>
          <w:sz w:val="18"/>
          <w:szCs w:val="18"/>
          <w:b w:val="1"/>
          <w:bCs w:val="1"/>
          <w:color w:val="auto"/>
        </w:rPr>
        <w:t>Xunlei Director</w:t>
      </w:r>
      <w:r>
        <w:rPr>
          <w:rFonts w:ascii="Times New Roman" w:cs="Times New Roman" w:eastAsia="Times New Roman" w:hAnsi="Times New Roman"/>
          <w:sz w:val="18"/>
          <w:szCs w:val="18"/>
          <w:color w:val="auto"/>
        </w:rPr>
        <w:t xml:space="preserve">,” together with the </w:t>
      </w:r>
      <w:r>
        <w:rPr>
          <w:rFonts w:ascii="Times New Roman" w:cs="Times New Roman" w:eastAsia="Times New Roman" w:hAnsi="Times New Roman"/>
          <w:sz w:val="18"/>
          <w:szCs w:val="18"/>
          <w:b w:val="1"/>
          <w:bCs w:val="1"/>
          <w:color w:val="auto"/>
        </w:rPr>
        <w:t>Kingsoft Cloud 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Investor Directors</w:t>
      </w:r>
      <w:r>
        <w:rPr>
          <w:rFonts w:ascii="Times New Roman" w:cs="Times New Roman" w:eastAsia="Times New Roman" w:hAnsi="Times New Roman"/>
          <w:sz w:val="18"/>
          <w:szCs w:val="18"/>
          <w:color w:val="auto"/>
        </w:rPr>
        <w:t>”). All directors shall be elected by the shareholders’ meeting, and each shareholder shall vote in favor of the nominees proposed by the relevant shareholder at the shareholders’ meeting. The Company shall not remove any director nominated by an Investor without the consent of the relevant Investor.</w:t>
      </w:r>
    </w:p>
    <w:p>
      <w:pPr>
        <w:spacing w:after="0" w:line="188"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7.1.2</w:t>
        <w:tab/>
        <w:t>Each director shall serve a term of three (3) years and may be re-elected upon renomination by the nominating party and approval by the shareholders’ meeting. Prior to expiration of the term of any director, the nominating party shall have the right at any time to request replacement of any director nominated by it. For the avoidance of doubt, only the shareholder that nominated a director shall have the right to replace such director or propose to the shareholders’ meeting the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2" w:name="page403"/>
    <w:bookmarkEnd w:id="402"/>
    <w:p>
      <w:pPr>
        <w:ind w:left="640"/>
        <w:spacing w:after="0" w:line="282" w:lineRule="auto"/>
        <w:rPr>
          <w:sz w:val="20"/>
          <w:szCs w:val="20"/>
          <w:color w:val="auto"/>
        </w:rPr>
      </w:pPr>
      <w:r>
        <w:rPr>
          <w:rFonts w:ascii="Times New Roman" w:cs="Times New Roman" w:eastAsia="Times New Roman" w:hAnsi="Times New Roman"/>
          <w:sz w:val="18"/>
          <w:szCs w:val="18"/>
          <w:color w:val="auto"/>
        </w:rPr>
        <w:t>of such director. If any director ceases to serve for any reason, the nominating party shall promptly nominate a replacement director to serve for the remaining term of the departing director.</w:t>
      </w:r>
    </w:p>
    <w:p>
      <w:pPr>
        <w:spacing w:after="0" w:line="162"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7.1.3</w:t>
        <w:tab/>
        <w:t>Each Investor entitled to nominate an Investor Director pursuant to Section 7.1.1 shall have the right, individually or jointly, to request in writing that the committees under the Board of the Group Companies and the composition, quorum requirements and approval mechanisms of the board of directors of each Group Company (other than the Company) be aligned with those of the Board of the Company, and the Guarantors shall procure that such Group Companies implement the foregoing requirements.</w:t>
      </w:r>
    </w:p>
    <w:p>
      <w:pPr>
        <w:spacing w:after="0" w:line="180"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7.1.4</w:t>
        <w:tab/>
        <w:t>The Company shall provide the maximum indemnification protection permitted under Applicable Law for the Investor Directors, including indemnification against any liability to third parties arising from the performance of their duties as directors, except for liabilities arising from violations of law, gross negligence or fraud by such Investor Directors.</w:t>
      </w:r>
    </w:p>
    <w:p>
      <w:pPr>
        <w:spacing w:after="0" w:line="176" w:lineRule="exact"/>
        <w:rPr>
          <w:sz w:val="20"/>
          <w:szCs w:val="20"/>
          <w:color w:val="auto"/>
        </w:rPr>
      </w:pPr>
    </w:p>
    <w:p>
      <w:pPr>
        <w:jc w:val="both"/>
        <w:ind w:left="640" w:right="20" w:hanging="634"/>
        <w:spacing w:after="0" w:line="312" w:lineRule="auto"/>
        <w:tabs>
          <w:tab w:leader="none" w:pos="62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7"/>
          <w:szCs w:val="17"/>
          <w:color w:val="auto"/>
        </w:rPr>
        <w:t>To the extent that this Section 7 does not specify procedural matters relating to meetings of the Board, the procedures set forth in the Articles of Association shall apply, provided that such procedures do not conflict with this Agreement or the Company Law.</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Powers of the Board of Directors</w:t>
      </w:r>
    </w:p>
    <w:p>
      <w:pPr>
        <w:spacing w:after="0" w:line="229"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7.2.1</w:t>
        <w:tab/>
        <w:t>The Board shall be the primary decision-making body of the Company and shall bear primary responsibility for the management of the Company. Unless otherwise provided, the Board shall have the authority to appoint or remove the general manager and to authorize the general manager to make decisions on matters relating to the ordinary course of business of the Company. The Board shall have the authority to make all material decisions other than those reserved to the shareholders’ meeting. No shareholder or employee of the Company shall take any action that purports to bind the Company with respect to any matter requiring approval by the Board or the shareholders’ meeting unless such approval has been obtained. Each shareholder shall procure that the directors nominated by it shall not take any action requiring Board approval without such approval, and shall not authorize any director, supervisor or senior officer to take any action requiring Board approval without such approval. The Board shall adopt resolutions in accordance with this Agreement, the Articles of Association and Applicable Law.</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Procedures of Board Meetings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7.3.1</w:t>
        <w:tab/>
        <w:t>The Board shall meet at least once every half year, and extraordinary meetings shall be convened upon the written request of any director.</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7.3.2</w:t>
        <w:tab/>
        <w:t>The Company shall provide notice of each Board meeting, together with the meeting agenda and relevant materials, to all directors at least ten (10) days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3" w:name="page404"/>
    <w:bookmarkEnd w:id="403"/>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meeting. The notice period required under the Articles of Association for convening a Board meeting may be shortened or waived with the unanimous written consent of a majority of the incumbent directors (which shall include at least one Investor Director).</w:t>
      </w:r>
    </w:p>
    <w:p>
      <w:pPr>
        <w:spacing w:after="0" w:line="176"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7.3.3</w:t>
        <w:tab/>
        <w:t>The quorum for a Board meeting shall be a majority of the directors, including all Investor Directors, and no meeting shall be convened nor any resolution adopted unless the number of directors present meets such quorum requirement. If any Investor Director or its duly authorized representative fails to attend the Board meeting on time, such meeting shall be adjourned to the third (3rd) Business Day after the originally scheduled meeting date (“</w:t>
      </w:r>
      <w:r>
        <w:rPr>
          <w:rFonts w:ascii="Times New Roman" w:cs="Times New Roman" w:eastAsia="Times New Roman" w:hAnsi="Times New Roman"/>
          <w:sz w:val="18"/>
          <w:szCs w:val="18"/>
          <w:b w:val="1"/>
          <w:bCs w:val="1"/>
          <w:color w:val="auto"/>
        </w:rPr>
        <w:t>First Adjourned Board Meeting</w:t>
      </w:r>
      <w:r>
        <w:rPr>
          <w:rFonts w:ascii="Times New Roman" w:cs="Times New Roman" w:eastAsia="Times New Roman" w:hAnsi="Times New Roman"/>
          <w:sz w:val="18"/>
          <w:szCs w:val="18"/>
          <w:color w:val="auto"/>
        </w:rPr>
        <w:t>”). If such Investor Director or its authorized representative again fails to attend the First Adjourned Board Meeting on time, such meeting shall be further adjourned to the third (3rd) Business Day after the originally scheduled meeting date (“</w:t>
      </w:r>
      <w:r>
        <w:rPr>
          <w:rFonts w:ascii="Times New Roman" w:cs="Times New Roman" w:eastAsia="Times New Roman" w:hAnsi="Times New Roman"/>
          <w:sz w:val="18"/>
          <w:szCs w:val="18"/>
          <w:b w:val="1"/>
          <w:bCs w:val="1"/>
          <w:color w:val="auto"/>
        </w:rPr>
        <w:t>Second Adjourned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the Second Adjourned Board Meeting, the quorum requirement shall be deemed satisfied so long as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are present, provided that only the matters specified in the written notice of the Board meeting may be discussed and resolved (if applicable).</w:t>
      </w:r>
    </w:p>
    <w:p>
      <w:pPr>
        <w:spacing w:after="0" w:line="188"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7.3.4</w:t>
        <w:tab/>
        <w:t>All reasonable expenses incurred by directors in connection with matters relating to the Company, including attendance at Board meetings, shall be borne by the Company. The Company shall provide minutes of each Board meeting to the directors within fifteen (15) days after such meeting.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Board Resolutions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7.4.1</w:t>
        <w:tab/>
        <w:t>Except as otherwise provided under the Company Law, resolutions on the following matters shall be adopted by the Board (for the avoidance of doubt, references to the “Company” in this Section shall include all Group Companies):</w:t>
      </w:r>
    </w:p>
    <w:p>
      <w:pPr>
        <w:spacing w:after="0" w:line="162" w:lineRule="exact"/>
        <w:rPr>
          <w:sz w:val="20"/>
          <w:szCs w:val="20"/>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meetings and reporting to the shareholders’ meeting;</w:t>
      </w:r>
    </w:p>
    <w:p>
      <w:pPr>
        <w:spacing w:after="0" w:line="22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resolutions of the shareholders’ meeting;</w:t>
      </w:r>
    </w:p>
    <w:p>
      <w:pPr>
        <w:spacing w:after="0" w:line="22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internal organizational structure of the Company;</w:t>
      </w:r>
    </w:p>
    <w:p>
      <w:pPr>
        <w:spacing w:after="0" w:line="22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the Company’s business plans and investment plans;</w:t>
      </w:r>
    </w:p>
    <w:p>
      <w:pPr>
        <w:spacing w:after="0" w:line="22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the Company’s profit distribution plan and loss recovery plan;</w:t>
      </w:r>
    </w:p>
    <w:p>
      <w:pPr>
        <w:spacing w:after="0" w:line="22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proposals for increase or reduction of registered capital and issuance of corporate bonds;</w:t>
      </w:r>
    </w:p>
    <w:p>
      <w:pPr>
        <w:spacing w:after="0" w:line="225" w:lineRule="exact"/>
        <w:rPr>
          <w:rFonts w:ascii="Times New Roman" w:cs="Times New Roman" w:eastAsia="Times New Roman" w:hAnsi="Times New Roman"/>
          <w:sz w:val="18"/>
          <w:szCs w:val="18"/>
          <w:color w:val="auto"/>
        </w:rPr>
      </w:pPr>
    </w:p>
    <w:p>
      <w:pPr>
        <w:ind w:left="1140" w:hanging="497"/>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proposals for merger, division, dissolution or change of corporate form;</w:t>
      </w:r>
    </w:p>
    <w:p>
      <w:pPr>
        <w:spacing w:after="0" w:line="225" w:lineRule="exact"/>
        <w:rPr>
          <w:rFonts w:ascii="Times New Roman" w:cs="Times New Roman" w:eastAsia="Times New Roman" w:hAnsi="Times New Roman"/>
          <w:sz w:val="18"/>
          <w:szCs w:val="18"/>
          <w:color w:val="auto"/>
        </w:rPr>
      </w:pPr>
    </w:p>
    <w:p>
      <w:pPr>
        <w:ind w:left="1140" w:hanging="497"/>
        <w:spacing w:after="0" w:line="282" w:lineRule="auto"/>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equity incentives to any individual where such incentive, individually or in aggregate, represents more than one percent (1%) of the equity interests in the Company; determining and adjusting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4" w:name="page405"/>
    <w:bookmarkEnd w:id="404"/>
    <w:p>
      <w:pPr>
        <w:ind w:left="1140"/>
        <w:spacing w:after="0"/>
        <w:rPr>
          <w:sz w:val="20"/>
          <w:szCs w:val="20"/>
          <w:color w:val="auto"/>
        </w:rPr>
      </w:pPr>
      <w:r>
        <w:rPr>
          <w:rFonts w:ascii="Times New Roman" w:cs="Times New Roman" w:eastAsia="Times New Roman" w:hAnsi="Times New Roman"/>
          <w:sz w:val="18"/>
          <w:szCs w:val="18"/>
          <w:color w:val="auto"/>
        </w:rPr>
        <w:t>of employee equity incentives of any Group Company; granting employee equity incentives to Key Management;</w:t>
      </w:r>
    </w:p>
    <w:p>
      <w:pPr>
        <w:spacing w:after="0" w:line="225" w:lineRule="exact"/>
        <w:rPr>
          <w:sz w:val="20"/>
          <w:szCs w:val="20"/>
          <w:color w:val="auto"/>
        </w:rPr>
      </w:pPr>
    </w:p>
    <w:p>
      <w:pPr>
        <w:jc w:val="both"/>
        <w:ind w:left="1120" w:hanging="497"/>
        <w:spacing w:after="0" w:line="261" w:lineRule="auto"/>
        <w:tabs>
          <w:tab w:leader="none" w:pos="11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already approved in the annual business plan and annual budget, any purchase or disposal (including sale, mortgage, pledge, lease, transfer or exclusive license) of any assets in an amount equal to or exceeding RMB 10 million (in a single transaction or a series of related transactions), or disposal of assets (including material intellectual property) that may have a Material Adverse Effect on the Group and its business even if such amount threshold is not met;</w:t>
      </w:r>
    </w:p>
    <w:p>
      <w:pPr>
        <w:spacing w:after="0" w:line="179" w:lineRule="exact"/>
        <w:rPr>
          <w:rFonts w:ascii="Times New Roman" w:cs="Times New Roman" w:eastAsia="Times New Roman" w:hAnsi="Times New Roman"/>
          <w:sz w:val="18"/>
          <w:szCs w:val="18"/>
          <w:color w:val="auto"/>
        </w:rPr>
      </w:pPr>
    </w:p>
    <w:p>
      <w:pPr>
        <w:ind w:left="1120" w:right="20" w:hanging="497"/>
        <w:spacing w:after="0" w:line="282" w:lineRule="auto"/>
        <w:tabs>
          <w:tab w:leader="none" w:pos="11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any material litigation or arbitration involving any Group Company in an amount exceeding RMB 5 million;</w:t>
      </w:r>
    </w:p>
    <w:p>
      <w:pPr>
        <w:spacing w:after="0" w:line="161" w:lineRule="exact"/>
        <w:rPr>
          <w:rFonts w:ascii="Times New Roman" w:cs="Times New Roman" w:eastAsia="Times New Roman" w:hAnsi="Times New Roman"/>
          <w:sz w:val="18"/>
          <w:szCs w:val="18"/>
          <w:color w:val="auto"/>
        </w:rPr>
      </w:pPr>
    </w:p>
    <w:p>
      <w:pPr>
        <w:jc w:val="both"/>
        <w:ind w:left="1120" w:hanging="497"/>
        <w:spacing w:after="0" w:line="255" w:lineRule="auto"/>
        <w:tabs>
          <w:tab w:leader="none" w:pos="11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amendment of any Affiliate Transaction between any Group Company and any Affiliate, any Management Shareholder, director, senior officer or employee (or any Affiliate of any of the foregoing), or between any Management Shareholder and any Affiliate’s senior officers or directors, where the value of such Affiliate Transaction exceeds twenty percent (20%) of the total amount of Affiliate Transactions of the Group Company in the preceding quarter (excluding any approval or amendment pursuant to any equity incentive plan duly approved in accordance with this Agreement and agreements relating to employment relationships entered into in the ordinary course of business, including but not limited to employment contracts, service agreements and confidentiality agreements); and</w:t>
      </w:r>
    </w:p>
    <w:p>
      <w:pPr>
        <w:spacing w:after="0" w:line="188" w:lineRule="exact"/>
        <w:rPr>
          <w:rFonts w:ascii="Times New Roman" w:cs="Times New Roman" w:eastAsia="Times New Roman" w:hAnsi="Times New Roman"/>
          <w:sz w:val="18"/>
          <w:szCs w:val="18"/>
          <w:color w:val="auto"/>
        </w:rPr>
      </w:pPr>
    </w:p>
    <w:p>
      <w:pPr>
        <w:jc w:val="both"/>
        <w:ind w:left="1120" w:hanging="497"/>
        <w:spacing w:after="0" w:line="261" w:lineRule="auto"/>
        <w:tabs>
          <w:tab w:leader="none" w:pos="11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from any single supplier and/or its Affiliates representing more than eight percent (8%) of any Group Company’s annual procurement expenses, or payment of fees to any single service provider (other than procurement-related expenses) and/or its Affiliates representing more than eight percent (8%) of the Group Company’s total annual non-procurement expenses.</w:t>
      </w:r>
    </w:p>
    <w:p>
      <w:pPr>
        <w:spacing w:after="0" w:line="180" w:lineRule="exact"/>
        <w:rPr>
          <w:sz w:val="20"/>
          <w:szCs w:val="20"/>
          <w:color w:val="auto"/>
        </w:rPr>
      </w:pPr>
    </w:p>
    <w:p>
      <w:pPr>
        <w:ind w:left="620" w:right="20" w:hanging="634"/>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7.4.2</w:t>
        <w:tab/>
        <w:t>Unless otherwise required by Applicable Law, the matters set forth in Section 7.4.1 shall be approved only if the following conditions are satisfied (“</w:t>
      </w:r>
      <w:r>
        <w:rPr>
          <w:rFonts w:ascii="Times New Roman" w:cs="Times New Roman" w:eastAsia="Times New Roman" w:hAnsi="Times New Roman"/>
          <w:sz w:val="18"/>
          <w:szCs w:val="18"/>
          <w:b w:val="1"/>
          <w:bCs w:val="1"/>
          <w:color w:val="auto"/>
        </w:rPr>
        <w:t>Board Resolution Approval Requirements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000" w:right="20" w:hanging="391"/>
        <w:spacing w:after="0" w:line="282" w:lineRule="auto"/>
        <w:tabs>
          <w:tab w:leader="none" w:pos="10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more than one-half of the directors present at a duly convened Board meeting, whether attending in person or by proxy; and</w:t>
      </w:r>
    </w:p>
    <w:p>
      <w:pPr>
        <w:spacing w:after="0" w:line="161" w:lineRule="exact"/>
        <w:rPr>
          <w:rFonts w:ascii="Times New Roman" w:cs="Times New Roman" w:eastAsia="Times New Roman" w:hAnsi="Times New Roman"/>
          <w:sz w:val="18"/>
          <w:szCs w:val="18"/>
          <w:color w:val="auto"/>
        </w:rPr>
      </w:pPr>
    </w:p>
    <w:p>
      <w:pPr>
        <w:jc w:val="both"/>
        <w:ind w:left="1000" w:hanging="391"/>
        <w:spacing w:after="0" w:line="257" w:lineRule="auto"/>
        <w:tabs>
          <w:tab w:leader="none" w:pos="10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the matters set forth in Sections 7.4.1(viii) through 7.4.1(xii), the approving directors shall include all Investor Directors; (B) with respect to Section 7.4.1(v), if the proposed dividend distribution ratio exceeds sixty percent (60%) of the audited net profit of the preceding fiscal year, the approving directors shall include all Investor Directors; and</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with respect to each of the Xunlei Director and the Kingsoft Cloud Director, after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405" w:name="page406"/>
    <w:bookmarkEnd w:id="405"/>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Investor has achieved Full Recovery of Investment Cost, approval of the foregoing matters shall no longer be subject to the affirmative vote of such Investor Director; provided that such matters shall still be submitted to the Board for approval under Section 7.4.2(1).</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7"/>
          <w:szCs w:val="17"/>
          <w:color w:val="auto"/>
        </w:rPr>
        <w:t>Written Consent</w:t>
      </w:r>
    </w:p>
    <w:p>
      <w:pPr>
        <w:spacing w:after="0" w:line="225"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color w:val="auto"/>
        </w:rPr>
        <w:t>With respect to matters requiring approval by the Board, if all directors unanimously provide written consent, a resolution may be adopted without convening a Board meeting, and all directors shall sign the written resolution document.</w:t>
      </w:r>
    </w:p>
    <w:p>
      <w:pPr>
        <w:spacing w:after="0" w:line="158"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Supervisor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Composition</w:t>
      </w:r>
    </w:p>
    <w:p>
      <w:pPr>
        <w:spacing w:after="0" w:line="225" w:lineRule="exact"/>
        <w:rPr>
          <w:sz w:val="20"/>
          <w:szCs w:val="20"/>
          <w:color w:val="auto"/>
        </w:rPr>
      </w:pPr>
    </w:p>
    <w:p>
      <w:pPr>
        <w:jc w:val="both"/>
        <w:ind w:left="6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Company </w:t>
      </w:r>
      <w:r>
        <w:rPr>
          <w:rFonts w:ascii="Times New Roman" w:cs="Times New Roman" w:eastAsia="Times New Roman" w:hAnsi="Times New Roman"/>
          <w:sz w:val="18"/>
          <w:szCs w:val="18"/>
          <w:color w:val="auto"/>
        </w:rPr>
        <w:t>shall not establish a supervisory board and shall instead appoint one (1) supervisor, who shall be elected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meeting. Directors and senior officers shall not concurrently serve as the supervisor.</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Term of Office</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supervisor shall serve a term of three (3) years and may be re-elected upon approval by the shareholders’ meeting. If the term of the supervisor expires without a timely re-election, or if the supervisor resigns during the term of office, the incumbent supervisor shall continue to perform the duties of the supervisor in accordance with Applicable Law and the Articles of Association until a new supervisor assumes office.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Powers of the Supervisor</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8.3.1</w:t>
        <w:tab/>
        <w:t>The supervisor shall exercise the following powers:</w:t>
      </w:r>
    </w:p>
    <w:p>
      <w:pPr>
        <w:spacing w:after="0" w:line="225" w:lineRule="exact"/>
        <w:rPr>
          <w:sz w:val="20"/>
          <w:szCs w:val="20"/>
          <w:color w:val="auto"/>
        </w:rPr>
      </w:pPr>
    </w:p>
    <w:p>
      <w:pPr>
        <w:ind w:left="1280" w:hanging="637"/>
        <w:spacing w:after="0"/>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financial affairs of the Company;</w:t>
      </w:r>
    </w:p>
    <w:p>
      <w:pPr>
        <w:spacing w:after="0" w:line="225" w:lineRule="exact"/>
        <w:rPr>
          <w:rFonts w:ascii="Times New Roman" w:cs="Times New Roman" w:eastAsia="Times New Roman" w:hAnsi="Times New Roman"/>
          <w:sz w:val="18"/>
          <w:szCs w:val="18"/>
          <w:color w:val="auto"/>
        </w:rPr>
      </w:pPr>
    </w:p>
    <w:p>
      <w:pPr>
        <w:jc w:val="both"/>
        <w:ind w:left="1280" w:hanging="637"/>
        <w:spacing w:after="0" w:line="266" w:lineRule="auto"/>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performance of duties by directors and senior officers of the Company and proposing removal of any director or senior officer who violates any Law, administrative regulation, this Agreement, the Articles of Association or any resolution of the Board;</w:t>
      </w:r>
    </w:p>
    <w:p>
      <w:pPr>
        <w:spacing w:after="0" w:line="175" w:lineRule="exact"/>
        <w:rPr>
          <w:rFonts w:ascii="Times New Roman" w:cs="Times New Roman" w:eastAsia="Times New Roman" w:hAnsi="Times New Roman"/>
          <w:sz w:val="18"/>
          <w:szCs w:val="18"/>
          <w:color w:val="auto"/>
        </w:rPr>
      </w:pPr>
    </w:p>
    <w:p>
      <w:pPr>
        <w:ind w:left="1280" w:right="20" w:hanging="637"/>
        <w:spacing w:after="0" w:line="282" w:lineRule="auto"/>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convening an extraordinary shareholders’ meeting and convening and presiding over shareholders’ meetings where the Board fails to perform its duties to convene and preside over such meetings;</w:t>
      </w:r>
    </w:p>
    <w:p>
      <w:pPr>
        <w:spacing w:after="0" w:line="161" w:lineRule="exact"/>
        <w:rPr>
          <w:rFonts w:ascii="Times New Roman" w:cs="Times New Roman" w:eastAsia="Times New Roman" w:hAnsi="Times New Roman"/>
          <w:sz w:val="18"/>
          <w:szCs w:val="18"/>
          <w:color w:val="auto"/>
        </w:rPr>
      </w:pPr>
    </w:p>
    <w:p>
      <w:pPr>
        <w:ind w:left="1280" w:hanging="637"/>
        <w:spacing w:after="0"/>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proposals to the shareholders’ meeting; and</w:t>
      </w:r>
    </w:p>
    <w:p>
      <w:pPr>
        <w:spacing w:after="0" w:line="225" w:lineRule="exact"/>
        <w:rPr>
          <w:rFonts w:ascii="Times New Roman" w:cs="Times New Roman" w:eastAsia="Times New Roman" w:hAnsi="Times New Roman"/>
          <w:sz w:val="18"/>
          <w:szCs w:val="18"/>
          <w:color w:val="auto"/>
        </w:rPr>
      </w:pPr>
    </w:p>
    <w:p>
      <w:pPr>
        <w:ind w:left="1280" w:hanging="637"/>
        <w:spacing w:after="0"/>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legal proceedings against directors and senior officers in accordance with the Company Law.</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8.3.2</w:t>
        <w:tab/>
        <w:t>The supervisor may attend meetings of the Board as a non-voting participant and may raise inquiries or proposals regarding matters resolved by the Board.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6" w:name="page407"/>
    <w:bookmarkEnd w:id="406"/>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supervisor discovers any abnormality in the operation of the Company, the supervisor may conduct investigations and, where necessary, engage an accounting firm or other professional advisors to assist in the performance of duties, and the related expenses shall be borne by the Company.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8.3.3</w:t>
      </w:r>
      <w:r>
        <w:rPr>
          <w:sz w:val="20"/>
          <w:szCs w:val="20"/>
          <w:color w:val="auto"/>
        </w:rPr>
        <w:tab/>
      </w:r>
      <w:r>
        <w:rPr>
          <w:rFonts w:ascii="Times New Roman" w:cs="Times New Roman" w:eastAsia="Times New Roman" w:hAnsi="Times New Roman"/>
          <w:sz w:val="17"/>
          <w:szCs w:val="17"/>
          <w:color w:val="auto"/>
        </w:rPr>
        <w:t>All reasonable expenses necessary for the supervisor to perform his or her duties shall be borne by the Company.</w:t>
      </w:r>
    </w:p>
    <w:p>
      <w:pPr>
        <w:spacing w:after="0" w:line="221" w:lineRule="exact"/>
        <w:rPr>
          <w:sz w:val="20"/>
          <w:szCs w:val="20"/>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Section 9</w:t>
        <w:tab/>
        <w:t>Audit Rights, Information Rights and Inspection Rights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Audit Rights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9.1.1</w:t>
        <w:tab/>
        <w:t>Each Investor shall have the right, without materially interfering with the normal operations of the Group Companies, to conduct, by itself or through a qualified third-party professional institution, no more than one financial audit of the Group Companies per year, and the costs of such audit shall be borne by such Investor.</w:t>
      </w:r>
    </w:p>
    <w:p>
      <w:pPr>
        <w:spacing w:after="0" w:line="176"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9.1.2</w:t>
        <w:tab/>
        <w:t>The Group Companies shall actively cooperate and provide necessary conditions and information to facilitate completion of such audit.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Information Rights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9.2.1</w:t>
        <w:tab/>
        <w:t>For so long as any Investor holds any equity interests in the Company, from the Closing Date, the Company shall provide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Investors with the following information regarding each Group Company:</w:t>
      </w:r>
    </w:p>
    <w:p>
      <w:pPr>
        <w:spacing w:after="0" w:line="207" w:lineRule="exact"/>
        <w:rPr>
          <w:sz w:val="20"/>
          <w:szCs w:val="20"/>
          <w:color w:val="auto"/>
        </w:rPr>
      </w:pPr>
    </w:p>
    <w:p>
      <w:pPr>
        <w:jc w:val="both"/>
        <w:ind w:left="1280" w:right="20" w:hanging="637"/>
        <w:spacing w:after="0" w:line="266"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end of each fiscal year, an annual consolidated audit report and annual consolidated operating report prepared in Chinese in accordance with PRC GAAP by a PRC accounting firm, including the auditor’s opinion and any accompanying notes and annexes;</w:t>
      </w:r>
    </w:p>
    <w:p>
      <w:pPr>
        <w:spacing w:after="0" w:line="175" w:lineRule="exact"/>
        <w:rPr>
          <w:rFonts w:ascii="Times New Roman" w:cs="Times New Roman" w:eastAsia="Times New Roman" w:hAnsi="Times New Roman"/>
          <w:sz w:val="18"/>
          <w:szCs w:val="18"/>
          <w:color w:val="auto"/>
        </w:rPr>
      </w:pPr>
    </w:p>
    <w:p>
      <w:pPr>
        <w:ind w:left="1280" w:hanging="637"/>
        <w:spacing w:after="0" w:line="282"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the end of each fiscal quarter, unaudited quarterly consolidated financial statements (including income statement, balance sheet and cash flow statement);</w:t>
      </w:r>
    </w:p>
    <w:p>
      <w:pPr>
        <w:spacing w:after="0" w:line="161" w:lineRule="exact"/>
        <w:rPr>
          <w:rFonts w:ascii="Times New Roman" w:cs="Times New Roman" w:eastAsia="Times New Roman" w:hAnsi="Times New Roman"/>
          <w:sz w:val="18"/>
          <w:szCs w:val="18"/>
          <w:color w:val="auto"/>
        </w:rPr>
      </w:pPr>
    </w:p>
    <w:p>
      <w:pPr>
        <w:ind w:left="1280" w:hanging="637"/>
        <w:spacing w:after="0" w:line="282"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the end of each fiscal quarter, statistics on the amount of Affiliate Transactions of the Group Companies for such quarter;</w:t>
      </w:r>
    </w:p>
    <w:p>
      <w:pPr>
        <w:spacing w:after="0" w:line="161" w:lineRule="exact"/>
        <w:rPr>
          <w:rFonts w:ascii="Times New Roman" w:cs="Times New Roman" w:eastAsia="Times New Roman" w:hAnsi="Times New Roman"/>
          <w:sz w:val="18"/>
          <w:szCs w:val="18"/>
          <w:color w:val="auto"/>
        </w:rPr>
      </w:pPr>
    </w:p>
    <w:p>
      <w:pPr>
        <w:ind w:left="1280" w:hanging="637"/>
        <w:spacing w:after="0" w:line="282"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the end of each month, unaudited monthly consolidated financial statements (including income statement, balance sheet and cash flow statement);</w:t>
      </w:r>
    </w:p>
    <w:p>
      <w:pPr>
        <w:spacing w:after="0" w:line="161" w:lineRule="exact"/>
        <w:rPr>
          <w:rFonts w:ascii="Times New Roman" w:cs="Times New Roman" w:eastAsia="Times New Roman" w:hAnsi="Times New Roman"/>
          <w:sz w:val="18"/>
          <w:szCs w:val="18"/>
          <w:color w:val="auto"/>
        </w:rPr>
      </w:pPr>
    </w:p>
    <w:p>
      <w:pPr>
        <w:ind w:left="1280" w:hanging="637"/>
        <w:spacing w:after="0" w:line="282"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(30) days prior to the end of each fiscal year, the consolidated budget plan, operating plan and business plan for the following fiscal year;</w:t>
      </w:r>
    </w:p>
    <w:p>
      <w:pPr>
        <w:spacing w:after="0" w:line="161" w:lineRule="exact"/>
        <w:rPr>
          <w:rFonts w:ascii="Times New Roman" w:cs="Times New Roman" w:eastAsia="Times New Roman" w:hAnsi="Times New Roman"/>
          <w:sz w:val="18"/>
          <w:szCs w:val="18"/>
          <w:color w:val="auto"/>
        </w:rPr>
      </w:pPr>
    </w:p>
    <w:p>
      <w:pPr>
        <w:ind w:left="1280" w:hanging="637"/>
        <w:spacing w:after="0" w:line="282"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documents and information delivered to other shareholders, and reasonable access to senior management to enable such Investors to obtain information;</w:t>
      </w:r>
    </w:p>
    <w:p>
      <w:pPr>
        <w:spacing w:after="0" w:line="161" w:lineRule="exact"/>
        <w:rPr>
          <w:rFonts w:ascii="Times New Roman" w:cs="Times New Roman" w:eastAsia="Times New Roman" w:hAnsi="Times New Roman"/>
          <w:sz w:val="18"/>
          <w:szCs w:val="18"/>
          <w:color w:val="auto"/>
        </w:rPr>
      </w:pPr>
    </w:p>
    <w:p>
      <w:pPr>
        <w:ind w:left="1280" w:right="20" w:hanging="637"/>
        <w:spacing w:after="0" w:line="282"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material penalties, administrative investigations or material non-compliance notices issued by any Governmental Authority against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7" w:name="page408"/>
    <w:bookmarkEnd w:id="407"/>
    <w:p>
      <w:pPr>
        <w:ind w:left="1300"/>
        <w:spacing w:after="0"/>
        <w:rPr>
          <w:sz w:val="20"/>
          <w:szCs w:val="20"/>
          <w:color w:val="auto"/>
        </w:rPr>
      </w:pPr>
      <w:r>
        <w:rPr>
          <w:rFonts w:ascii="Times New Roman" w:cs="Times New Roman" w:eastAsia="Times New Roman" w:hAnsi="Times New Roman"/>
          <w:sz w:val="18"/>
          <w:szCs w:val="18"/>
          <w:color w:val="auto"/>
        </w:rPr>
        <w:t>Group Company (within three (3) Business Days after receipt of the relevant notice);</w:t>
      </w:r>
    </w:p>
    <w:p>
      <w:pPr>
        <w:spacing w:after="0" w:line="225" w:lineRule="exact"/>
        <w:rPr>
          <w:sz w:val="20"/>
          <w:szCs w:val="20"/>
          <w:color w:val="auto"/>
        </w:rPr>
      </w:pPr>
    </w:p>
    <w:p>
      <w:pPr>
        <w:ind w:left="1280" w:hanging="637"/>
        <w:spacing w:after="0" w:line="282" w:lineRule="auto"/>
        <w:tabs>
          <w:tab w:leader="none" w:pos="12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material litigation or arbitration involving any Group Company in an amount exceeding RMB 5 million (within three (3) Business Days after the Group Company becomes aware thereof); and</w:t>
      </w:r>
    </w:p>
    <w:p>
      <w:pPr>
        <w:spacing w:after="0" w:line="161" w:lineRule="exact"/>
        <w:rPr>
          <w:rFonts w:ascii="Times New Roman" w:cs="Times New Roman" w:eastAsia="Times New Roman" w:hAnsi="Times New Roman"/>
          <w:sz w:val="18"/>
          <w:szCs w:val="18"/>
          <w:color w:val="auto"/>
        </w:rPr>
      </w:pPr>
    </w:p>
    <w:p>
      <w:pPr>
        <w:jc w:val="both"/>
        <w:ind w:left="1280" w:hanging="637"/>
        <w:spacing w:after="0" w:line="258" w:lineRule="auto"/>
        <w:tabs>
          <w:tab w:leader="none" w:pos="12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reasonably requested by any Investor, including but not limited to periodic operating data, capitalization tables, lists of subsidiaries and investee companies, statistical data, transaction and financial data, financial reports, other business information, and any other information necessary for such Investor to comply with reporting and disclosure obligations under the laws and regulations and listing rules applicable at the place of listing of such Investor (if applicable).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Inspection Rights</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Upon reasonable prior written notice and during normal business hours of the Group Companies, the Group Companies shall permit, and each Guarantor (other than Xinghan Zhilian) shall procure that the Group Companies permit, any Investor or its authorized representatives to inspect the premises, facilities, books and accounting records, original accounting vouchers, minutes of meetings of the Board, the supervisor and the shareholders’ meeting, as well as other documents and facilities of the Group Companies, to make extracts and copies therefrom, verify their assets and properties, and discuss the business, operations and affairs of the Group Companies with relevant directors, supervisors, senior officers, employees, accountants, legal counsel and investment banks. The Group Companies shall permit, and each Guarantor (other than Xinghan Zhilian) shall ensure that directors, supervisors, senior officers and employees of the Group Companies provide full cooperation to the Investors and their authorized representatives in connection with the foregoing.</w:t>
      </w:r>
    </w:p>
    <w:p>
      <w:pPr>
        <w:spacing w:after="0" w:line="18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Profit Distribution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Distribution</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10.1.1</w:t>
        <w:tab/>
        <w:t>After taking into account the cash flow and operating conditions of the Company, the shareholders’ meeting shall determine whether to distribute profits and the specific arrangements for such distribution. Profit distributions shall be made in proportion to the respective paid-in capital contributions of the shareholders at the relevant time; provided that, pursuant to the employee stock ownership plan, any portion of the equity interests in the Company held by any Employee Shareholding Platform that has not been granted or has been granted but not yet vested shall not participate in profit distribution.</w:t>
      </w:r>
    </w:p>
    <w:p>
      <w:pPr>
        <w:spacing w:after="0" w:line="183"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10.1.2</w:t>
        <w:tab/>
        <w:t>If the shareholders’ meeting approves a profit distribution, the Company shall distribute profits to the shareholders in accordance with the procedures required by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8" w:name="page409"/>
    <w:bookmarkEnd w:id="408"/>
    <w:p>
      <w:pPr>
        <w:ind w:left="660"/>
        <w:spacing w:after="0"/>
        <w:rPr>
          <w:sz w:val="20"/>
          <w:szCs w:val="20"/>
          <w:color w:val="auto"/>
        </w:rPr>
      </w:pPr>
      <w:r>
        <w:rPr>
          <w:rFonts w:ascii="Times New Roman" w:cs="Times New Roman" w:eastAsia="Times New Roman" w:hAnsi="Times New Roman"/>
          <w:sz w:val="18"/>
          <w:szCs w:val="18"/>
          <w:color w:val="auto"/>
        </w:rPr>
        <w:t>applicable laws and regulations, and each shareholder shall provide the necessary cooperation.</w:t>
      </w:r>
    </w:p>
    <w:p>
      <w:pPr>
        <w:spacing w:after="0" w:line="221"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Section 11</w:t>
        <w:tab/>
        <w:t>Full-Time Employment and Non-Competition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Full-Time Employment</w:t>
      </w:r>
    </w:p>
    <w:p>
      <w:pPr>
        <w:spacing w:after="0" w:line="229"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11.1.1</w:t>
        <w:tab/>
        <w:t>Unless otherwise approved in writing in advance by the Investors, each Key Employee shall devote all working time and attention exclusively to the business of the Group Companies, and each Management Shareholder (other than Xinghan Zhilian) shall procure that each Key Employee shall use its best efforts to promote the development of the Group Companies and maximize the interests of the Group Companies, and shall not engage in any part-time employment, operate or invest in any other business that is not part of the Group’s business (whether or not such business competes with the Group’s business); provided that the foregoing shall not restrict Key Employees from holding not more than one percent (1%) of the shares of any listed company.</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Non-Competition</w:t>
      </w:r>
    </w:p>
    <w:p>
      <w:pPr>
        <w:spacing w:after="0" w:line="229" w:lineRule="exact"/>
        <w:rPr>
          <w:sz w:val="20"/>
          <w:szCs w:val="20"/>
          <w:color w:val="auto"/>
        </w:rPr>
      </w:pPr>
    </w:p>
    <w:p>
      <w:pPr>
        <w:jc w:val="both"/>
        <w:ind w:left="640" w:hanging="634"/>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11.2.1</w:t>
        <w:tab/>
        <w:t>Without the prior written consent of the Investors, each Key Employee shall not, and each Guarantor shall procure that its respective Affiliates and Key Employees shall not, during the period in which such Key Employee serves as an employee, shareholder, director or service provider of the Company or any other Group Company or directly or indirectly holds equity interests in any Group Company, and for a period of two (2) years after such Key Employee ceases to provide services to the Company or any other Group Company or ceases to directly or indirectly hold equity interests in any Group Company (whichever is later), directly or indirectly engage in any business that is identical or similar to, or competes directly or indirectly with, the business conducted by the Group Companies (“</w:t>
      </w:r>
      <w:r>
        <w:rPr>
          <w:rFonts w:ascii="Times New Roman" w:cs="Times New Roman" w:eastAsia="Times New Roman" w:hAnsi="Times New Roman"/>
          <w:sz w:val="18"/>
          <w:szCs w:val="18"/>
          <w:b w:val="1"/>
          <w:bCs w:val="1"/>
          <w:color w:val="auto"/>
        </w:rPr>
        <w:t>Competing Business</w:t>
      </w:r>
      <w:r>
        <w:rPr>
          <w:rFonts w:ascii="Times New Roman" w:cs="Times New Roman" w:eastAsia="Times New Roman" w:hAnsi="Times New Roman"/>
          <w:sz w:val="18"/>
          <w:szCs w:val="18"/>
          <w:color w:val="auto"/>
        </w:rPr>
        <w:t>”), or be employed by any entity that engages in or intends to engage in any Competing Business and competes with the Group Companies (a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excluding entities wholly owned or controlled by the Company), including acting as a partner, consultant or otherwise participating in the operations of such Competitor. Such Key Employee shall not directly or indirectly hold any interest in any entity engaging in any Competing Business (including as owner, shareholder, ultimate controller or creditor), or engage in any other conduct detrimental to the interests of the Group Companies, including but not limited to:</w:t>
      </w:r>
    </w:p>
    <w:p>
      <w:pPr>
        <w:spacing w:after="0" w:line="190" w:lineRule="exact"/>
        <w:rPr>
          <w:sz w:val="20"/>
          <w:szCs w:val="20"/>
          <w:color w:val="auto"/>
        </w:rPr>
      </w:pPr>
    </w:p>
    <w:p>
      <w:pPr>
        <w:ind w:left="1280" w:right="20" w:hanging="637"/>
        <w:spacing w:after="0" w:line="282" w:lineRule="auto"/>
        <w:tabs>
          <w:tab w:leader="none" w:pos="12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participating in, indirectly controlling, managing, operating or joining any company or other organization engaging in any Competing Business;</w:t>
      </w:r>
    </w:p>
    <w:p>
      <w:pPr>
        <w:spacing w:after="0" w:line="161" w:lineRule="exact"/>
        <w:rPr>
          <w:rFonts w:ascii="Times New Roman" w:cs="Times New Roman" w:eastAsia="Times New Roman" w:hAnsi="Times New Roman"/>
          <w:sz w:val="18"/>
          <w:szCs w:val="18"/>
          <w:color w:val="auto"/>
        </w:rPr>
      </w:pPr>
    </w:p>
    <w:p>
      <w:pPr>
        <w:ind w:left="1280" w:right="20" w:hanging="637"/>
        <w:spacing w:after="0" w:line="282" w:lineRule="auto"/>
        <w:tabs>
          <w:tab w:leader="none" w:pos="12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loans, financial assistance, customer information, consulting, advice or any other form of assistance or services to any company or organization engaging in any Competing Business, or maintaining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9" w:name="page410"/>
    <w:bookmarkEnd w:id="409"/>
    <w:p>
      <w:pPr>
        <w:ind w:left="1280"/>
        <w:spacing w:after="0"/>
        <w:rPr>
          <w:sz w:val="20"/>
          <w:szCs w:val="20"/>
          <w:color w:val="auto"/>
        </w:rPr>
      </w:pPr>
      <w:r>
        <w:rPr>
          <w:rFonts w:ascii="Times New Roman" w:cs="Times New Roman" w:eastAsia="Times New Roman" w:hAnsi="Times New Roman"/>
          <w:sz w:val="18"/>
          <w:szCs w:val="18"/>
          <w:color w:val="auto"/>
        </w:rPr>
        <w:t>dealings with such entity (including acting as agent, supplier or distributor);</w:t>
      </w:r>
    </w:p>
    <w:p>
      <w:pPr>
        <w:spacing w:after="0" w:line="225" w:lineRule="exact"/>
        <w:rPr>
          <w:sz w:val="20"/>
          <w:szCs w:val="20"/>
          <w:color w:val="auto"/>
        </w:rPr>
      </w:pPr>
    </w:p>
    <w:p>
      <w:pPr>
        <w:ind w:left="1280" w:hanging="637"/>
        <w:spacing w:after="0" w:line="282"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obtaining benefits from any Competing Business or any company or organization engaging in any Competing Business;</w:t>
      </w:r>
    </w:p>
    <w:p>
      <w:pPr>
        <w:spacing w:after="0" w:line="161" w:lineRule="exact"/>
        <w:rPr>
          <w:rFonts w:ascii="Times New Roman" w:cs="Times New Roman" w:eastAsia="Times New Roman" w:hAnsi="Times New Roman"/>
          <w:sz w:val="18"/>
          <w:szCs w:val="18"/>
          <w:color w:val="auto"/>
        </w:rPr>
      </w:pPr>
    </w:p>
    <w:p>
      <w:pPr>
        <w:ind w:left="1280" w:hanging="637"/>
        <w:spacing w:after="0" w:line="282"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agreement, undertaking any commitment or making any arrangement that restricts, harms or may restrict or harm the Group Companies’ ability to conduct their existing business;</w:t>
      </w:r>
    </w:p>
    <w:p>
      <w:pPr>
        <w:spacing w:after="0" w:line="161" w:lineRule="exact"/>
        <w:rPr>
          <w:rFonts w:ascii="Times New Roman" w:cs="Times New Roman" w:eastAsia="Times New Roman" w:hAnsi="Times New Roman"/>
          <w:sz w:val="18"/>
          <w:szCs w:val="18"/>
          <w:color w:val="auto"/>
        </w:rPr>
      </w:pPr>
    </w:p>
    <w:p>
      <w:pPr>
        <w:jc w:val="both"/>
        <w:ind w:left="1280" w:hanging="637"/>
        <w:spacing w:after="0" w:line="258"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conduct detrimental to the potential interests or business of the Group Companies, including soliciting, recruiting, canvassing or contacting (or attempting to solicit, recruit, canvass or contact) customers, agents, suppliers and/or independent contractors relating to the Group Companies’ business, or conducting abnormal commercial contacts or attempting to conduct transactions with customers relating to the production and sales business of the Group Companies, whether such customers existed prior to or after the Closing Date;</w:t>
      </w:r>
    </w:p>
    <w:p>
      <w:pPr>
        <w:spacing w:after="0" w:line="183" w:lineRule="exact"/>
        <w:rPr>
          <w:rFonts w:ascii="Times New Roman" w:cs="Times New Roman" w:eastAsia="Times New Roman" w:hAnsi="Times New Roman"/>
          <w:sz w:val="18"/>
          <w:szCs w:val="18"/>
          <w:color w:val="auto"/>
        </w:rPr>
      </w:pPr>
    </w:p>
    <w:p>
      <w:pPr>
        <w:jc w:val="both"/>
        <w:ind w:left="1280" w:right="20" w:hanging="637"/>
        <w:spacing w:after="0" w:line="266"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conduct detrimental to the potential interests of the Group Companies by employing, in any manner, any person who has departed from the Group Companies through any individual or organization directly or indirectly controlled by such Key Employee or in which such Key Employee has an interest; and</w:t>
      </w:r>
    </w:p>
    <w:p>
      <w:pPr>
        <w:spacing w:after="0" w:line="175" w:lineRule="exact"/>
        <w:rPr>
          <w:rFonts w:ascii="Times New Roman" w:cs="Times New Roman" w:eastAsia="Times New Roman" w:hAnsi="Times New Roman"/>
          <w:sz w:val="18"/>
          <w:szCs w:val="18"/>
          <w:color w:val="auto"/>
        </w:rPr>
      </w:pPr>
    </w:p>
    <w:p>
      <w:pPr>
        <w:jc w:val="both"/>
        <w:ind w:left="1280" w:hanging="637"/>
        <w:spacing w:after="0" w:line="261"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recruiting or contacting (or attempting to solicit, recruit or contact) any person employed by any Group Company or its Affiliates (regardless of position or whether such departure would constitute a breach), or employing, in any manner, any person who has departed from the Group Companies through any individual or organization directly or indirectly controlled by such Key Employee or in which such Key Employee has an interest.</w:t>
      </w:r>
    </w:p>
    <w:p>
      <w:pPr>
        <w:spacing w:after="0" w:line="180"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foregoing provisions shall not restrict Key Employees from holding not more than one percent (1%) of the shares of any listed company.</w:t>
      </w:r>
    </w:p>
    <w:p>
      <w:pPr>
        <w:spacing w:after="0" w:line="158"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Termination, Dissolution and Liquidation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Dissolution Events</w:t>
      </w:r>
    </w:p>
    <w:p>
      <w:pPr>
        <w:spacing w:after="0" w:line="229"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Upon the occurrence of any of the following circumstances or events, the Company may be dissolved and this Agreement may be terminated upon a motion proposed by any shareholder:</w:t>
      </w:r>
    </w:p>
    <w:p>
      <w:pPr>
        <w:spacing w:after="0" w:line="162" w:lineRule="exact"/>
        <w:rPr>
          <w:sz w:val="20"/>
          <w:szCs w:val="20"/>
          <w:color w:val="auto"/>
        </w:rPr>
      </w:pPr>
    </w:p>
    <w:p>
      <w:pPr>
        <w:ind w:left="1280" w:hanging="637"/>
        <w:spacing w:after="0" w:line="282" w:lineRule="auto"/>
        <w:tabs>
          <w:tab w:leader="none" w:pos="12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of the Company approved by shareholders representing more than two-thirds of the voting rights of the Company (including the affirmative vote of all Financial Investors); or</w:t>
      </w:r>
    </w:p>
    <w:p>
      <w:pPr>
        <w:spacing w:after="0" w:line="161" w:lineRule="exact"/>
        <w:rPr>
          <w:rFonts w:ascii="Times New Roman" w:cs="Times New Roman" w:eastAsia="Times New Roman" w:hAnsi="Times New Roman"/>
          <w:sz w:val="18"/>
          <w:szCs w:val="18"/>
          <w:color w:val="auto"/>
        </w:rPr>
      </w:pPr>
    </w:p>
    <w:p>
      <w:pPr>
        <w:ind w:left="1280" w:hanging="637"/>
        <w:spacing w:after="0"/>
        <w:tabs>
          <w:tab w:leader="none" w:pos="12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for dissolution as provided under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0" w:name="page411"/>
    <w:bookmarkEnd w:id="410"/>
    <w:p>
      <w:pPr>
        <w:ind w:left="1300"/>
        <w:spacing w:after="0"/>
        <w:rPr>
          <w:sz w:val="20"/>
          <w:szCs w:val="20"/>
          <w:color w:val="auto"/>
        </w:rPr>
      </w:pPr>
      <w:r>
        <w:rPr>
          <w:rFonts w:ascii="Times New Roman" w:cs="Times New Roman" w:eastAsia="Times New Roman" w:hAnsi="Times New Roman"/>
          <w:sz w:val="18"/>
          <w:szCs w:val="18"/>
          <w:color w:val="auto"/>
        </w:rPr>
        <w:t>Law.</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Dissolution Resolution</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If any shareholder proposes the dissolution of the Company pursuant to Section 12.1, the Board shall promptly convene a shareholders’ meeting, and a resolution for dissolution of the Company shall be adopted only upon approval by shareholders representing more than two-thirds of the voting rights of the Company (including the affirmative vote of the Financial Investors). Dissolution shall not affect any liability for breach or obligations owed by any Party to any other Party arising prior to such dissolution in accordance with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Liquidation</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Upon the occurrence of any of the following events, the Board shall, in accordance with Applicable Law, this Agreement and the Articles of Association, establish a liquidation committee within fifteen (15) days from the date of occurrence of such event to carry out liquidation of the Company:</w:t>
      </w:r>
    </w:p>
    <w:p>
      <w:pPr>
        <w:spacing w:after="0" w:line="176" w:lineRule="exact"/>
        <w:rPr>
          <w:sz w:val="20"/>
          <w:szCs w:val="20"/>
          <w:color w:val="auto"/>
        </w:rPr>
      </w:pPr>
    </w:p>
    <w:p>
      <w:pPr>
        <w:ind w:left="1280" w:hanging="637"/>
        <w:spacing w:after="0"/>
        <w:tabs>
          <w:tab w:leader="none" w:pos="12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liquidation event such as bankruptcy, dissolution or liquidation of the Company;</w:t>
      </w:r>
    </w:p>
    <w:p>
      <w:pPr>
        <w:spacing w:after="0" w:line="225" w:lineRule="exact"/>
        <w:rPr>
          <w:rFonts w:ascii="Times New Roman" w:cs="Times New Roman" w:eastAsia="Times New Roman" w:hAnsi="Times New Roman"/>
          <w:sz w:val="18"/>
          <w:szCs w:val="18"/>
          <w:color w:val="auto"/>
        </w:rPr>
      </w:pPr>
    </w:p>
    <w:p>
      <w:pPr>
        <w:jc w:val="both"/>
        <w:ind w:left="1280" w:hanging="637"/>
        <w:spacing w:after="0" w:line="256" w:lineRule="auto"/>
        <w:tabs>
          <w:tab w:leader="none" w:pos="12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issues an order, decree or ruling, or takes any other action, rendering the principal business of the Group Companies illegal or causing a Material Adverse Effect thereon, and the Group Companies fail to rectify such situation into lawful business operations or eliminate the Material Adverse Effect within six (6) months from the occurrence of such event without materially changing the principal business (for the avoidance of doubt, prior to implementing any rectification measures, the Guarantors (excluding Xinghan Zhilian) shall provide Investors with a detailed remediation plan, which shall be subject to the Investors’ joint approval prior to implementation); and</w:t>
      </w:r>
    </w:p>
    <w:p>
      <w:pPr>
        <w:spacing w:after="0" w:line="187" w:lineRule="exact"/>
        <w:rPr>
          <w:rFonts w:ascii="Times New Roman" w:cs="Times New Roman" w:eastAsia="Times New Roman" w:hAnsi="Times New Roman"/>
          <w:sz w:val="18"/>
          <w:szCs w:val="18"/>
          <w:color w:val="auto"/>
        </w:rPr>
      </w:pPr>
    </w:p>
    <w:p>
      <w:pPr>
        <w:ind w:left="1280" w:hanging="637"/>
        <w:spacing w:after="0"/>
        <w:tabs>
          <w:tab w:leader="none" w:pos="12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provided under the Company Law.</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above events are collectively referred to as the “</w:t>
      </w:r>
      <w:r>
        <w:rPr>
          <w:rFonts w:ascii="Times New Roman" w:cs="Times New Roman" w:eastAsia="Times New Roman" w:hAnsi="Times New Roman"/>
          <w:sz w:val="18"/>
          <w:szCs w:val="18"/>
          <w:b w:val="1"/>
          <w:bCs w:val="1"/>
          <w:color w:val="auto"/>
        </w:rPr>
        <w:t>Liquidation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Liquidation Committee</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12.4.1</w:t>
        <w:tab/>
        <w:t>The members of the liquidation committee shall consist of a law firm, an accounting firm or other persons appointed by the Board. The liquidation committee shall notify creditors within ten (10) days from its establishment and make a public announcement within sixty (60) days in newspapers or through the National Enterprise Credit Information Publicity System. Any decision of the liquidation committee shall be approved by more than one-half of the directors of the Company, including the affirmative vote of the Investor Directors.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b w:val="1"/>
          <w:bCs w:val="1"/>
          <w:color w:val="auto"/>
        </w:rPr>
        <w:t>Distribution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1" w:name="page412"/>
    <w:bookmarkEnd w:id="41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Upon the occurrence of a Liquidation Event, the liquidation committee shall, in accordance with the order of priority prescribed by Applicable Law, apply the assets of the Company to pay liquidation expenses and discharge the debts of the Company (including obligations relating to employees and taxes), and the remaining balance shall be distributed among the shareholders in accordance with Section 5.3 of this Agreement.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Company undergoes a Corporate Transaction, each shareholder shall be entitled, in accordance with Section 5.3, to receive equity interests and other rights in the surviving entity (if the Company merges with another company) or to receive its share of the consideration from the sale of the Company (if the Company is acquired).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b w:val="1"/>
          <w:bCs w:val="1"/>
          <w:color w:val="auto"/>
        </w:rPr>
        <w:t>Completion of Liquidation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Upon completion of liquidation, custody of the Company’s books and records shall be determined by the liquidation committee.</w:t>
      </w:r>
    </w:p>
    <w:p>
      <w:pPr>
        <w:spacing w:after="0" w:line="221"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Section 13</w:t>
        <w:tab/>
        <w:t>Liability for Breach</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General Provisions</w:t>
      </w:r>
    </w:p>
    <w:p>
      <w:pPr>
        <w:spacing w:after="0" w:line="225"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13.1.1</w:t>
        <w:tab/>
        <w:t>Except as otherwise provided in this Agreement, if any Party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fails to perform or fully perform any of its obligations under this Agreement, such Party shall compensate the non-breaching Party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for any losses, damages, liabilities and/or expenses incurred as a result thereof. The Breaching Party shall indemnify the Non-Breaching Party for such losses and shall take appropriate measures to prevent further damages. Where more than one Party is in breach, each breaching Party shall bear its respective liabilities in accordance with the actual circumstances.</w:t>
      </w:r>
    </w:p>
    <w:p>
      <w:pPr>
        <w:spacing w:after="0" w:line="183"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13.1.2</w:t>
        <w:tab/>
        <w:t>Any breach by any Party of any Transaction Document, including this Agreement, the Equity Transfer Agreement or the Articles of Association, shall constitute a breach of the other Transaction Documents by such Party.</w:t>
      </w:r>
    </w:p>
    <w:p>
      <w:pPr>
        <w:spacing w:after="0" w:line="162"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13.1.3</w:t>
        <w:tab/>
        <w:t>Each Party hereby authorizes the Company to deduct from any dividends or other distributions payable to the Breaching Party any amount of compensation payable by such Breaching Party to the Non-Breaching Party (the determination of such compensation and the amount of losses shall be agreed upon by the relevant Parties or determined in accordance with the dispute resolution mechanism set forth in this Agreement), and to pay such deducted amount to the Non-Breaching Party on behalf of the Breaching Party. Such authorization shall not be revoked without the consent of all Parties.</w:t>
      </w:r>
    </w:p>
    <w:p>
      <w:pPr>
        <w:spacing w:after="0" w:line="179"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14.1.1</w:t>
        <w:tab/>
        <w:t>If any Group Company completes an initial public offering, the rights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2" w:name="page413"/>
    <w:bookmarkEnd w:id="412"/>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Investors under this Agreement and similar rights provided in the Articles of Association (“</w:t>
      </w:r>
      <w:r>
        <w:rPr>
          <w:rFonts w:ascii="Times New Roman" w:cs="Times New Roman" w:eastAsia="Times New Roman" w:hAnsi="Times New Roman"/>
          <w:sz w:val="18"/>
          <w:szCs w:val="18"/>
          <w:b w:val="1"/>
          <w:bCs w:val="1"/>
          <w:color w:val="auto"/>
        </w:rPr>
        <w:t>Special Shareholder Rights</w:t>
      </w:r>
      <w:r>
        <w:rPr>
          <w:rFonts w:ascii="Times New Roman" w:cs="Times New Roman" w:eastAsia="Times New Roman" w:hAnsi="Times New Roman"/>
          <w:sz w:val="18"/>
          <w:szCs w:val="18"/>
          <w:color w:val="auto"/>
        </w:rPr>
        <w:t>”) shall terminate immediately prior to the completion of such initial public offering in order to comply with the requirements of the stock exchange. Where such Special Shareholder Rights are required to be suspended or terminated at an earlier time in accordance with applicable listing rules or requirements of relevant regulatory authorities, the Investors hereby agree to suspend or terminate such Special Shareholder Rights for the purpose of completing the initial public offering.</w:t>
      </w:r>
    </w:p>
    <w:p>
      <w:pPr>
        <w:spacing w:after="0" w:line="183"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14.1.2</w:t>
        <w:tab/>
        <w:t>Subject to the requirements of the CSRC or other listing regulatory authorities, if (a) the relevant Group Company suspends or terminates the initial public offering process, or the relevant application is withdrawn, rejected, denied, lapses or similar circumstances occur, or (b) the relevant Group Company fails to obtain approval from competent authorities within twelve (12) months from the date of submission of the application for the initial public offering, the Special Shareholder Rights of the Investors under this Agreement or the relevant legal documents in effect at such time shall be reinstated, and such Special Shareholder Rights shall be deemed to have remained continuously effective from the effective date of this Agreement as if they had never been amended, suspended or terminated. Upon restoration of the legal effect of such provisions, the Investors shall be entitled to recover any benefits that they should have enjoyed but did not actually enjoy during the period in which such provisions were ineffective in accordance with this Agreement.</w:t>
      </w:r>
    </w:p>
    <w:p>
      <w:pPr>
        <w:spacing w:after="0" w:line="188"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14.1.3</w:t>
        <w:tab/>
        <w:t>Each Party further acknowledges and agrees that it shall cooperate in terminating the Special Shareholder Rights, including but not limited to the execution of relevant documents by the Investors and their designated directors, subject to the requirements of the CSRC and other relevant Governmental Authorities.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color w:val="auto"/>
        </w:rPr>
        <w:t>Use of Name</w:t>
      </w:r>
    </w:p>
    <w:p>
      <w:pPr>
        <w:spacing w:after="0" w:line="22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Without the prior written consent of Kingsoft Cloud or its Affiliates, regardless of whether Kingsoft Cloud then directly or indirectly holds any equity interests in the Company, none of the Parties hereto (other than Kingsoft Cloud) shall, and each Party shall procure that its Affiliates shall not, use, publish or reproduce the name of Kingsoft Cloud or any of its Affiliates for any marketing, advertising, promotional or other purposes, including but not limited to any use of the name “Kingsoft Cloud” alone or in combination, or any similar company name, trade name, trademark, product or service name, domain name, device mark, logo, symbol or any description that enables a third party to identify Kingsoft Cloud or any of its Affiliates.</w:t>
      </w:r>
    </w:p>
    <w:p>
      <w:pPr>
        <w:spacing w:after="0" w:line="187"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Without the prior written consent of Xunlei, regardless of whether Xunlei then directly or indirectly holds any equity interests in the Company, none of the Parties hereto (other than Xunlei) shall, and each Party shall procure that its Affiliates shall not, use, publish or reproduce the name of Xunlei or any of its Affiliates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3" w:name="page414"/>
    <w:bookmarkEnd w:id="41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marketing, advertising, promotional or other purposes, including but not limited to any use of the name “Xunlei” alone or in combination, or any similar company name, trade name, trademark, product or service name, domain name, device mark, logo, symbol or any description that enables a third party to identify Xunlei or any of its Affiliates.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14.3.1</w:t>
        <w:tab/>
        <w:t>A Force Majeure Event means any event that is unforeseeable at the time of execution of this Agreement, the occurrence of which is unavoidable or the consequences of which are insurmountable, and which results in any Party being partially or wholly unable to perform any provision of this Agreement, including earthquakes, typhoons, floods, fires, wars, changes in laws, and any other similar events that are unforeseeable, unavoidable or insurmountable, including events generally recognized as force majeure under international commercial practice.</w:t>
      </w:r>
    </w:p>
    <w:p>
      <w:pPr>
        <w:spacing w:after="0" w:line="183"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14.3.2</w:t>
        <w:tab/>
        <w:t>Upon the occurrence of a Force Majeure Event, the Party whose performance is affected may suspend performance of its obligations under this Agreement during the continuance of such Force Majeure Event and shall not be deemed in breach of this Agreement; provided that such affected Party shall promptly notify the other Parties in writing as soon as practicable and shall provide, within fifteen (15) days, supporting documents evidencing the occurrence and/or continuation of such Force Majeure Event in accordance with Applicable law; otherwise, such event shall not be deemed a Force Majeure Event.</w:t>
      </w:r>
    </w:p>
    <w:p>
      <w:pPr>
        <w:spacing w:after="0" w:line="183"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14.3.3</w:t>
        <w:tab/>
        <w:t>Upon the occurrence of a Force Majeure Event, the Parties shall promptly consult with each other in good faith to seek a fair and reasonable solution and shall use all reasonable efforts to mitigate the adverse effects of such Force Majeure Event on the performance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the laws of the PRC. The formation, validity, interpretation and performance of this Agreement and the resolution of any disputes arising hereunder shall be governed by the laws of the PRC. If the laws of the PRC contain no relevant provisions, general international commercial practices shall apply.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14.5.1</w:t>
        <w:tab/>
        <w:t>Any dispute or claim arising from or in connection with this Agreement or the performance, interpretation, breach, termination or validity hereof (including the validity, scope of application and enforceability of this dispute resolution clause) shall be submitted by any disputing Party to the People’s Court with competent jurisdiction at the place where the Company is located for resolution through litigation.</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14.5.2</w:t>
      </w:r>
      <w:r>
        <w:rPr>
          <w:sz w:val="20"/>
          <w:szCs w:val="20"/>
          <w:color w:val="auto"/>
        </w:rPr>
        <w:tab/>
      </w:r>
      <w:r>
        <w:rPr>
          <w:rFonts w:ascii="Times New Roman" w:cs="Times New Roman" w:eastAsia="Times New Roman" w:hAnsi="Times New Roman"/>
          <w:sz w:val="17"/>
          <w:szCs w:val="17"/>
          <w:color w:val="auto"/>
        </w:rPr>
        <w:t>For the purpose of facilitating litigation, each Party shall take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4" w:name="page415"/>
    <w:bookmarkEnd w:id="414"/>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actions: (i) cooperate in good faith and use its best efforts to expedite the litigation process; and (ii) where a court determines that certain documents, books, records or personnel are relevant to the dispute, and such documents, books, records or personnel are in the possession or under the control of a Party or any person who controls or is controlled by such Party, such Party shall provide such documents, books and records for review and extraction by the other Parties and the court, and shall arrange for the relevant personnel to meet with the other Parties and the court.</w:t>
      </w:r>
    </w:p>
    <w:p>
      <w:pPr>
        <w:spacing w:after="0" w:line="183"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14.5.3</w:t>
        <w:tab/>
        <w:t>All litigation costs and expenses, including court fees, attorneys’ fees and other reasonable costs and expenses, shall ultimately be borne by the losing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b w:val="1"/>
          <w:bCs w:val="1"/>
          <w:color w:val="auto"/>
        </w:rPr>
        <w:t>Amendments and Supplements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Any amendment or supplement to this Agreement shall become effective only upon execution of a written document by all Parties hereto. Any amendment or supplement shall form an integral part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held invalid by any court or other authority having jurisdiction over this Agreement, the validity of the remaining provisions shall not be affected.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Each Party shall keep confidential this Agreement and all information provided hereunder, and shall use such information solely for the purpose of this transaction. Without the prior written consent of the Party providing such information, no Party shall disclose or publish such information, except where disclosure is required by judicial authorities, administrative authorities or securities regulatory authorities, or where disclosure is made to such Party’s or its Affiliates’ respective directors, senior officers, employees, legal counsel, advisors, other representatives or existing shareholders, provided that such persons are subject to confidentiality obligations with respect to such information.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14.9.1</w:t>
        <w:tab/>
        <w:t xml:space="preserve">All notices, requests or other communications under this Agreement shall be made in writing (including by email) and shall be delivered, sent or mailed to the relevant Party at the address set forth in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to this Agreement (or such other address as notified in writing by the recipient to the other Parties at least ten (10) days in advance).</w:t>
      </w:r>
    </w:p>
    <w:p>
      <w:pPr>
        <w:spacing w:after="0" w:line="17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14.9.2</w:t>
        <w:tab/>
        <w:t>Any notice, request or other communication delivered pursuant to this Section 14.9 shall be deemed duly given or delivered: (i) if delivered by hand, upon delivery to the address of the recipient specified in this Agreement; (ii) if sent by email, when the sender’s email system indicates successful delivery to the recipient’s email address on record; or (iii) if delivered by a nationally recognized courier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5" w:name="page416"/>
    <w:bookmarkEnd w:id="415"/>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on the third (3rd) day after delivery to such courier, provided that the correct recipient address and contact details have been completed and the courier fees have been fully prepaid.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14.10</w:t>
      </w:r>
      <w:r>
        <w:rPr>
          <w:sz w:val="20"/>
          <w:szCs w:val="20"/>
          <w:color w:val="auto"/>
        </w:rPr>
        <w:tab/>
      </w: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Transaction Documents, each Party shall bear its own costs and expenses incurred in connection with the execution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7"/>
          <w:szCs w:val="17"/>
          <w:b w:val="1"/>
          <w:bCs w:val="1"/>
          <w:color w:val="auto"/>
        </w:rPr>
        <w:t>Articles of Association</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For any matters not provided in the Articles of Association, or where the provisions of the Articles of Association are inconsistent with this Agreement, this Agreement shall prevail.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This Agreement constitutes the entire understanding among the Parties with respect to the subject matter hereof and supersedes all prior letters of intent, agreements, undertakings, arrangements, communications, representations and/or warranties, whether written or oral, made by the Parties or any of their respective officers, employees or representatives in respect of the same subject matter. This Agreement (including any amendments or supplements hereto, and the other Transaction Documents) constitutes the sole and entire agreement among the Parties with respect to the matters contemplated hereunder (including but not limited to the rights and obligations of the shareholders of the Company). For the avoidance of doubt, the Parties confirm that, as of the effective date of this Agreement, any prior agreements or provisions among the Parties, the Company and/or any shareholder of the Company relating to the matters contemplated under this Agreement or any relevant provisions hereof shall immediately terminate and be superseded by this Agreement or the relevant provisions hereof.</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b w:val="1"/>
          <w:bCs w:val="1"/>
          <w:color w:val="auto"/>
        </w:rPr>
        <w:t>Language and Text</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This Agreement is written and executed in the Chinese language, and the original copies of this Agreement shall be made in fifteen (15) counterparts, each of which shall have equal legal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8"/>
          <w:szCs w:val="18"/>
          <w:b w:val="1"/>
          <w:bCs w:val="1"/>
          <w:color w:val="auto"/>
        </w:rPr>
        <w:t>Effectiveness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This Agreement shall be established upon due execution by the Parties and shall become effective as of the Closing Date, whereupon it shall be binding upon the Parties. With respect to any shareholder of the Company that becomes a Party hereto after the effectiveness of this Agreement by executing a joinder agreement, this Agreement shall become effective for such shareholder as of the date of execution of such joinder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6" w:name="page417"/>
    <w:bookmarkEnd w:id="416"/>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Onething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58000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3">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17" w:name="page418"/>
    <w:bookmarkEnd w:id="417"/>
    <w:p>
      <w:pPr>
        <w:ind w:right="1359" w:firstLine="1794"/>
        <w:spacing w:after="0" w:line="506"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Hao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6287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18" w:name="page419"/>
    <w:bookmarkEnd w:id="418"/>
    <w:p>
      <w:pPr>
        <w:ind w:right="1359" w:firstLine="1794"/>
        <w:spacing w:after="0" w:line="506"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Jinbo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Jinbo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061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19" w:name="page420"/>
    <w:bookmarkEnd w:id="419"/>
    <w:p>
      <w:pPr>
        <w:ind w:right="1359" w:firstLine="1794"/>
        <w:spacing w:after="0" w:line="506"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Zhang Yubo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Zhang Yubo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6574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0" w:name="page421"/>
    <w:bookmarkEnd w:id="420"/>
    <w:p>
      <w:pPr>
        <w:ind w:right="1359" w:firstLine="1794"/>
        <w:spacing w:after="0" w:line="506"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Liu Yingqiao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Liu Yingqiao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5971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1" w:name="page422"/>
    <w:bookmarkEnd w:id="421"/>
    <w:p>
      <w:pPr>
        <w:ind w:right="1359" w:firstLine="1794"/>
        <w:spacing w:after="0" w:line="506"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 Lei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Wu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0611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2" w:name="page423"/>
    <w:bookmarkEnd w:id="422"/>
    <w:p>
      <w:pPr>
        <w:ind w:left="1800"/>
        <w:spacing w:after="0"/>
        <w:rPr>
          <w:sz w:val="20"/>
          <w:szCs w:val="20"/>
          <w:color w:val="auto"/>
        </w:rPr>
      </w:pPr>
      <w:r>
        <w:rPr>
          <w:rFonts w:ascii="Times New Roman" w:cs="Times New Roman" w:eastAsia="Times New Roman" w:hAnsi="Times New Roman"/>
          <w:sz w:val="17"/>
          <w:szCs w:val="17"/>
          <w:color w:val="auto"/>
        </w:rPr>
        <w:t>[Signature Page of Shenzhen Onething Technology Co., Ltd. Shareholders’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executed by the following Parties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Nanjing Kehui Zhitu Information Technology Partnership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Hao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44284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3" w:name="page424"/>
    <w:bookmarkEnd w:id="423"/>
    <w:p>
      <w:pPr>
        <w:ind w:left="1800"/>
        <w:spacing w:after="0"/>
        <w:rPr>
          <w:sz w:val="20"/>
          <w:szCs w:val="20"/>
          <w:color w:val="auto"/>
        </w:rPr>
      </w:pPr>
      <w:r>
        <w:rPr>
          <w:rFonts w:ascii="Times New Roman" w:cs="Times New Roman" w:eastAsia="Times New Roman" w:hAnsi="Times New Roman"/>
          <w:sz w:val="17"/>
          <w:szCs w:val="17"/>
          <w:color w:val="auto"/>
        </w:rPr>
        <w:t>[Signature Page of Shenzhen Onething Technology Co., Ltd. Shareholders’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executed by the following Parties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Nanjing Yimang Yuelian Information Technology Partnership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Hao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8574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(Signature)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4" w:name="page425"/>
    <w:bookmarkEnd w:id="424"/>
    <w:p>
      <w:pPr>
        <w:ind w:left="1800"/>
        <w:spacing w:after="0"/>
        <w:rPr>
          <w:sz w:val="20"/>
          <w:szCs w:val="20"/>
          <w:color w:val="auto"/>
        </w:rPr>
      </w:pPr>
      <w:r>
        <w:rPr>
          <w:rFonts w:ascii="Times New Roman" w:cs="Times New Roman" w:eastAsia="Times New Roman" w:hAnsi="Times New Roman"/>
          <w:sz w:val="17"/>
          <w:szCs w:val="17"/>
          <w:color w:val="auto"/>
        </w:rPr>
        <w:t>[Signature Page of Shenzhen Onething Technology Co., Ltd. Shareholders’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executed by the following Parties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Nanjing Yuxin Jike Information Technology Partnership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Hao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857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5" w:name="page426"/>
    <w:bookmarkEnd w:id="425"/>
    <w:p>
      <w:pPr>
        <w:jc w:val="right"/>
        <w:ind w:right="1359"/>
        <w:spacing w:after="0"/>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executed by the following Parties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Nanjing Zhihui Yuandong Information Technology Partnership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Hao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8574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426" w:name="page427"/>
    <w:bookmarkEnd w:id="426"/>
    <w:p>
      <w:pPr>
        <w:jc w:val="right"/>
        <w:ind w:right="1359"/>
        <w:spacing w:after="0"/>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executed by the following Parties as of the date first written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Nanjing Zhongzhi Gongchuang Information Technology Partnership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Xiangyun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857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427" w:name="page428"/>
    <w:bookmarkEnd w:id="427"/>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Shuijing Interactive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600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Qianhai Onething Network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600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Onething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06006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8" w:name="page429"/>
    <w:bookmarkEnd w:id="428"/>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Shuijing Interactive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06006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Qianhai Onething Network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0600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Onething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6006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29" w:name="page430"/>
    <w:bookmarkEnd w:id="429"/>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Jiedian Technology Service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3">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Onething Network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Shanghai Onething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30" w:name="page431"/>
    <w:bookmarkEnd w:id="430"/>
    <w:p>
      <w:pPr>
        <w:jc w:val="right"/>
        <w:ind w:right="1359"/>
        <w:spacing w:after="0"/>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executed by the following Parties as of the date first written above: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Jiuzhang Qidian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Yingqiao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8117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431" w:name="page432"/>
    <w:bookmarkEnd w:id="431"/>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Xunlei Networking Technologies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9229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32" w:name="page433"/>
    <w:bookmarkEnd w:id="432"/>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Wuhan Kingsoft Cloud Information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Zou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7721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33" w:name="page434"/>
    <w:bookmarkEnd w:id="433"/>
    <w:p>
      <w:pPr>
        <w:ind w:right="1359" w:firstLine="1794"/>
        <w:spacing w:after="0" w:line="498" w:lineRule="auto"/>
        <w:rPr>
          <w:sz w:val="20"/>
          <w:szCs w:val="20"/>
          <w:color w:val="auto"/>
        </w:rPr>
      </w:pPr>
      <w:r>
        <w:rPr>
          <w:rFonts w:ascii="Times New Roman" w:cs="Times New Roman" w:eastAsia="Times New Roman" w:hAnsi="Times New Roman"/>
          <w:sz w:val="18"/>
          <w:szCs w:val="18"/>
          <w:color w:val="auto"/>
        </w:rPr>
        <w:t>[Signature Page of Shenzhen Onething Technology Co., Ltd. Shareholders’ Agreement] This Agreement is executed by the following Parties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Xinghan Zhilian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Hao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8117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(Signature)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34" w:name="page435"/>
    <w:bookmarkEnd w:id="434"/>
    <w:p>
      <w:pPr>
        <w:jc w:val="center"/>
        <w:ind w:right="19"/>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Annex 1</w:t>
      </w:r>
      <w:r>
        <w:rPr>
          <w:sz w:val="20"/>
          <w:szCs w:val="20"/>
          <w:color w:val="auto"/>
        </w:rPr>
        <w:tab/>
      </w:r>
      <w:r>
        <w:rPr>
          <w:rFonts w:ascii="Times New Roman" w:cs="Times New Roman" w:eastAsia="Times New Roman" w:hAnsi="Times New Roman"/>
          <w:sz w:val="17"/>
          <w:szCs w:val="17"/>
          <w:b w:val="1"/>
          <w:bCs w:val="1"/>
          <w:color w:val="auto"/>
        </w:rPr>
        <w:t>List of Group Companies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35" w:name="page436"/>
    <w:bookmarkEnd w:id="435"/>
    <w:p>
      <w:pPr>
        <w:jc w:val="cente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Annex 2</w:t>
      </w:r>
      <w:r>
        <w:rPr>
          <w:sz w:val="20"/>
          <w:szCs w:val="20"/>
          <w:color w:val="auto"/>
        </w:rPr>
        <w:tab/>
      </w:r>
      <w:r>
        <w:rPr>
          <w:rFonts w:ascii="Times New Roman" w:cs="Times New Roman" w:eastAsia="Times New Roman" w:hAnsi="Times New Roman"/>
          <w:sz w:val="18"/>
          <w:szCs w:val="18"/>
          <w:b w:val="1"/>
          <w:bCs w:val="1"/>
          <w:color w:val="auto"/>
        </w:rPr>
        <w:t>List of Competitors of the Company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36" w:name="page437"/>
    <w:bookmarkEnd w:id="436"/>
    <w:p>
      <w:pPr>
        <w:jc w:val="cente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Annex 3</w:t>
      </w:r>
      <w:r>
        <w:rPr>
          <w:sz w:val="20"/>
          <w:szCs w:val="20"/>
          <w:color w:val="auto"/>
        </w:rPr>
        <w:tab/>
      </w:r>
      <w:r>
        <w:rPr>
          <w:rFonts w:ascii="Times New Roman" w:cs="Times New Roman" w:eastAsia="Times New Roman" w:hAnsi="Times New Roman"/>
          <w:sz w:val="18"/>
          <w:szCs w:val="18"/>
          <w:b w:val="1"/>
          <w:bCs w:val="1"/>
          <w:color w:val="auto"/>
        </w:rPr>
        <w:t>Notice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t>Exhibit 4.34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Loan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on </w:t>
      </w:r>
      <w:r>
        <w:rPr>
          <w:rFonts w:ascii="Times New Roman" w:cs="Times New Roman" w:eastAsia="Times New Roman" w:hAnsi="Times New Roman"/>
          <w:sz w:val="18"/>
          <w:szCs w:val="18"/>
          <w:b w:val="1"/>
          <w:bCs w:val="1"/>
          <w:u w:val="single" w:color="auto"/>
          <w:color w:val="auto"/>
        </w:rPr>
        <w:t>February 27, 2025</w:t>
      </w:r>
      <w:r>
        <w:rPr>
          <w:rFonts w:ascii="Times New Roman" w:cs="Times New Roman" w:eastAsia="Times New Roman" w:hAnsi="Times New Roman"/>
          <w:sz w:val="18"/>
          <w:szCs w:val="18"/>
          <w:color w:val="auto"/>
        </w:rPr>
        <w:t xml:space="preserve">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between the following parties:</w:t>
      </w:r>
    </w:p>
    <w:p>
      <w:pPr>
        <w:spacing w:after="0" w:line="203" w:lineRule="exact"/>
        <w:rPr>
          <w:sz w:val="20"/>
          <w:szCs w:val="20"/>
          <w:color w:val="auto"/>
        </w:rPr>
      </w:pPr>
    </w:p>
    <w:p>
      <w:pPr>
        <w:jc w:val="both"/>
        <w:ind w:left="660" w:hanging="652"/>
        <w:spacing w:after="0" w:line="268" w:lineRule="auto"/>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Xunlei Computer (Shenzhen)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 sino-foreign equity joint venture duly established and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the PRC laws, with its address at Room 0610-E12, Port Building, Maritime Center, No. 59 Linhai Avenue, Nanshan Subdistrict, Qianhai Shenzhen-Hongkong Modern Service Industry Cooperation Zone, Shenzhen;</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Wu Kening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 PRC citizen, ID No. ******************, residing at [Room 2-2-501, Fenggang Garden, No.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Jinhu Road, Luohu District, Shenzhen];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and the Borrower are hereinafter referred to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Borrower holds [60]% of the equity interest in Shenzhen Zhilue Xinsi Consulting Co., Ltd. (“</w:t>
      </w:r>
      <w:r>
        <w:rPr>
          <w:rFonts w:ascii="Times New Roman" w:cs="Times New Roman" w:eastAsia="Times New Roman" w:hAnsi="Times New Roman"/>
          <w:sz w:val="18"/>
          <w:szCs w:val="18"/>
          <w:b w:val="1"/>
          <w:bCs w:val="1"/>
          <w:color w:val="auto"/>
        </w:rPr>
        <w:t>Xinsi</w:t>
      </w:r>
      <w:r>
        <w:rPr>
          <w:rFonts w:ascii="Times New Roman" w:cs="Times New Roman" w:eastAsia="Times New Roman" w:hAnsi="Times New Roman"/>
          <w:sz w:val="18"/>
          <w:szCs w:val="18"/>
          <w:color w:val="auto"/>
        </w:rPr>
        <w:t>”), representing registered capital of RMB 60,000 in Xinsi. All equity interests currently held or to be held in the future by the Borrower in Xinsi shall be collectively referred to as the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the Borrower and Xinsi entered into an Exclusive Option Agreement on [Feburary 27], 2025 (including any amendments, supplements or restatements thereto,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pursuant to which the Lender has the right to purchase from the Borrower, at any time and from time to time, the equity interest in Xinsi held by the Borrower.</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it agrees to provide to the Borrower, and the Borrower confirms that it has received, a loan in the amount of RMB [60,000] for the purposes set forth 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through friendly consultation,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8" w:name="page439"/>
    <w:bookmarkEnd w:id="438"/>
    <w:p>
      <w:pPr>
        <w:ind w:left="332" w:hanging="332"/>
        <w:spacing w:after="0"/>
        <w:tabs>
          <w:tab w:leader="none" w:pos="332"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1.1Subject to the terms of this Agreement, the Lender and the Borrower hereby confirm that the Borrower has obtained from the Lender a loan in the amount of RMB [60,000]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Upon expiration of the Loan term, the Loan term shall automatically be extended for successive ten (10)-year periods unless the Lender raises any objection prior to such expiration. The Lender shall have the right, at its sole discretion and based on actual circumstances, to unilaterally extend or shorten the Loan term. During the Loan term or any extended Loan term, upon the occurrence of any of the following events, the Borrower shall immediately prepay the Loan in full, unless otherwise waived by the Lender:</w:t>
      </w:r>
    </w:p>
    <w:p>
      <w:pPr>
        <w:spacing w:after="0" w:line="187"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1.1.1</w:t>
        <w:tab/>
        <w:t>Thirty (30) days have elapsed after the Borrower receives a written notice from the Lender requiring repayment;</w:t>
      </w:r>
    </w:p>
    <w:p>
      <w:pPr>
        <w:spacing w:after="0" w:line="225" w:lineRule="exact"/>
        <w:rPr>
          <w:sz w:val="20"/>
          <w:szCs w:val="20"/>
          <w:color w:val="auto"/>
        </w:rPr>
      </w:pPr>
    </w:p>
    <w:p>
      <w:pPr>
        <w:jc w:val="both"/>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1.1.2</w:t>
        <w:tab/>
        <w:t>for any reason whatsoever, the Borrower no longer holds any position with the Lender, Xinsi or any of their Affiliates;</w:t>
      </w:r>
    </w:p>
    <w:p>
      <w:pPr>
        <w:spacing w:after="0" w:line="162"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The Borrower engages in criminal conduct or becomes involved in criminal activities;</w:t>
      </w:r>
    </w:p>
    <w:p>
      <w:pPr>
        <w:spacing w:after="0" w:line="225" w:lineRule="exact"/>
        <w:rPr>
          <w:sz w:val="20"/>
          <w:szCs w:val="20"/>
          <w:color w:val="auto"/>
        </w:rPr>
      </w:pPr>
    </w:p>
    <w:p>
      <w:pPr>
        <w:jc w:val="both"/>
        <w:ind w:left="1612" w:hanging="647"/>
        <w:spacing w:after="0" w:line="258" w:lineRule="auto"/>
        <w:tabs>
          <w:tab w:leader="none" w:pos="1591" w:val="left"/>
        </w:tabs>
        <w:rPr>
          <w:sz w:val="20"/>
          <w:szCs w:val="20"/>
          <w:color w:val="auto"/>
        </w:rPr>
      </w:pPr>
      <w:r>
        <w:rPr>
          <w:rFonts w:ascii="Times New Roman" w:cs="Times New Roman" w:eastAsia="Times New Roman" w:hAnsi="Times New Roman"/>
          <w:sz w:val="18"/>
          <w:szCs w:val="18"/>
          <w:color w:val="auto"/>
        </w:rPr>
        <w:t>1.1.4</w:t>
        <w:tab/>
        <w:t>pursuant to applicable PRC laws, foreign investors are permitted to hold a controlling interest in and/or wholly own the principal business currently conducted in the PRC by Shenzhen Suqu Network Technology Co., Ltd., a company in which Xinsi holds equity interests, the competent PRC authorities commence approval of such business, and the Lender determines to exercise its exclusive purchase right under the Exclusive Option Agreement.</w:t>
      </w:r>
    </w:p>
    <w:p>
      <w:pPr>
        <w:spacing w:after="0" w:line="183" w:lineRule="exact"/>
        <w:rPr>
          <w:sz w:val="20"/>
          <w:szCs w:val="20"/>
          <w:color w:val="auto"/>
        </w:rPr>
      </w:pPr>
    </w:p>
    <w:p>
      <w:pPr>
        <w:jc w:val="both"/>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Loan provided by the Lender under this Agreement shall be applicable solely to the Borrower and shall not apply to any successor or assignee of the Borrower.</w:t>
      </w:r>
    </w:p>
    <w:p>
      <w:pPr>
        <w:spacing w:after="0" w:line="162" w:lineRule="exact"/>
        <w:rPr>
          <w:sz w:val="20"/>
          <w:szCs w:val="20"/>
          <w:color w:val="auto"/>
        </w:rPr>
      </w:pPr>
    </w:p>
    <w:p>
      <w:pPr>
        <w:jc w:val="both"/>
        <w:ind w:left="972"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Borrower agrees to accept the Loan provided by the Lender and hereby agrees and undertakes that the Loan shall be used solely for the purpose of paying the equity transfer consideration for the Borrower’s acquisition of equity interest in Xinsi. Without the prior written consent of the Lender, the Borrower shall not use the Loan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439" w:name="page440"/>
    <w:bookmarkEnd w:id="439"/>
    <w:p>
      <w:pPr>
        <w:jc w:val="both"/>
        <w:ind w:left="972" w:hanging="647"/>
        <w:spacing w:after="0" w:line="256" w:lineRule="auto"/>
        <w:tabs>
          <w:tab w:leader="none" w:pos="951"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Lender and the Borrower hereby agree and confirm that the repayment method of the Borrower shall be determined solely by the Lender from the following methods: pursuant to the Lender’s right to purchase the Equity Interests under the Exclusive Option Agreement, the Borrower shall transfer all of the Equity Interests held by it to the Lender or any Person designated by the Lender, and any proceeds obtained by the Borrower from such transfer of the Equity Interests (to the permitted extent) shall be used to repay the Loan owed by the Borrower to the Lender, all of which shall be paid to the Lender in the manner designated by the Lender.</w:t>
      </w:r>
    </w:p>
    <w:p>
      <w:pPr>
        <w:spacing w:after="0" w:line="187" w:lineRule="exact"/>
        <w:rPr>
          <w:sz w:val="20"/>
          <w:szCs w:val="20"/>
          <w:color w:val="auto"/>
        </w:rPr>
      </w:pPr>
    </w:p>
    <w:p>
      <w:pPr>
        <w:jc w:val="both"/>
        <w:ind w:left="972" w:hanging="647"/>
        <w:spacing w:after="0" w:line="261" w:lineRule="auto"/>
        <w:tabs>
          <w:tab w:leader="none" w:pos="951"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Lender and the Borrower hereby agree and confirm that, to the extent permitted under applicable laws, the Lender shall have the right, but not the obligation, at any time to purchase or designate any other Person (whether a legal entity or natural person) to purchase all or part of the Equity Interests at the purchase price specified in the Exclusive Option Agreement.</w:t>
      </w:r>
    </w:p>
    <w:p>
      <w:pPr>
        <w:spacing w:after="0" w:line="180" w:lineRule="exact"/>
        <w:rPr>
          <w:sz w:val="20"/>
          <w:szCs w:val="20"/>
          <w:color w:val="auto"/>
        </w:rPr>
      </w:pPr>
    </w:p>
    <w:p>
      <w:pPr>
        <w:jc w:val="both"/>
        <w:ind w:left="972"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Borrower undertakes to execute an irrevocable Power of Attorney (including any amendments, supplements or restatements thereto, “Power of Attorney”), pursuant to which all shareholder rights of the Borrower in Xinsi shall be entrusted to the Lender or any legal entity or natural person designated by the Lender for exercise.</w:t>
      </w:r>
    </w:p>
    <w:p>
      <w:pPr>
        <w:spacing w:after="0" w:line="176"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Unless otherwise agreed in this Agreement, the Loan shall be interest-free.</w:t>
      </w:r>
    </w:p>
    <w:p>
      <w:pPr>
        <w:spacing w:after="0" w:line="221" w:lineRule="exact"/>
        <w:rPr>
          <w:sz w:val="20"/>
          <w:szCs w:val="20"/>
          <w:color w:val="auto"/>
        </w:rPr>
      </w:pPr>
    </w:p>
    <w:p>
      <w:pPr>
        <w:ind w:left="332" w:hanging="332"/>
        <w:spacing w:after="0"/>
        <w:tabs>
          <w:tab w:leader="none" w:pos="332"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From the date of execution of this Agreement until the termination hereof, the Lender hereby represents and warrants to the</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Borrower as follows:</w:t>
      </w:r>
    </w:p>
    <w:p>
      <w:pPr>
        <w:spacing w:after="0" w:line="207"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The Lender is a company duly incorporated and validly existing under the PRC laws;</w:t>
      </w:r>
    </w:p>
    <w:p>
      <w:pPr>
        <w:spacing w:after="0" w:line="225" w:lineRule="exact"/>
        <w:rPr>
          <w:sz w:val="20"/>
          <w:szCs w:val="20"/>
          <w:color w:val="auto"/>
        </w:rPr>
      </w:pPr>
    </w:p>
    <w:p>
      <w:pPr>
        <w:jc w:val="both"/>
        <w:ind w:left="1612"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2.1.2</w:t>
        <w:tab/>
        <w:t>The Lender has full power and authority to execute and perform this Agreement. The execution and performance of this Agreement are within the Lender’s business scope and are not inconsistent with its articles of association or other organizational documents, and the Lender has obtained all necessary and appropriate approvals and authorizations for the execution and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40" w:name="page441"/>
    <w:bookmarkEnd w:id="440"/>
    <w:p>
      <w:pPr>
        <w:ind w:left="1612"/>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2.1.3</w:t>
        <w:tab/>
        <w:t>Upon execution, this Agreement constitutes legal, valid and binding obligations of the Lender, enforceable against the Lender in accordance with its terms.</w:t>
      </w:r>
    </w:p>
    <w:p>
      <w:pPr>
        <w:spacing w:after="0" w:line="162" w:lineRule="exact"/>
        <w:rPr>
          <w:sz w:val="20"/>
          <w:szCs w:val="20"/>
          <w:color w:val="auto"/>
        </w:rPr>
      </w:pPr>
    </w:p>
    <w:p>
      <w:pPr>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From the date of execution of this Agreement until the termination hereof, the Borrower hereby represents and warrants as follows:</w:t>
      </w:r>
    </w:p>
    <w:p>
      <w:pPr>
        <w:spacing w:after="0" w:line="162" w:lineRule="exact"/>
        <w:rPr>
          <w:sz w:val="20"/>
          <w:szCs w:val="20"/>
          <w:color w:val="auto"/>
        </w:rPr>
      </w:pPr>
    </w:p>
    <w:p>
      <w:pPr>
        <w:ind w:left="1572" w:hanging="607"/>
        <w:spacing w:after="0" w:line="282" w:lineRule="auto"/>
        <w:tabs>
          <w:tab w:leader="none" w:pos="1551" w:val="left"/>
        </w:tabs>
        <w:rPr>
          <w:sz w:val="20"/>
          <w:szCs w:val="20"/>
          <w:color w:val="auto"/>
        </w:rPr>
      </w:pPr>
      <w:r>
        <w:rPr>
          <w:rFonts w:ascii="Times New Roman" w:cs="Times New Roman" w:eastAsia="Times New Roman" w:hAnsi="Times New Roman"/>
          <w:sz w:val="18"/>
          <w:szCs w:val="18"/>
          <w:color w:val="auto"/>
        </w:rPr>
        <w:t>2.2.1</w:t>
        <w:tab/>
        <w:t>The Borrower is a natural person with full civil capacity and has the legal authority to execute and perform this Agreement;</w:t>
      </w:r>
    </w:p>
    <w:p>
      <w:pPr>
        <w:spacing w:after="0" w:line="162" w:lineRule="exact"/>
        <w:rPr>
          <w:sz w:val="20"/>
          <w:szCs w:val="20"/>
          <w:color w:val="auto"/>
        </w:rPr>
      </w:pPr>
    </w:p>
    <w:p>
      <w:pPr>
        <w:ind w:left="1572" w:right="20" w:hanging="607"/>
        <w:spacing w:after="0" w:line="282" w:lineRule="auto"/>
        <w:tabs>
          <w:tab w:leader="none" w:pos="1551" w:val="left"/>
        </w:tabs>
        <w:rPr>
          <w:sz w:val="20"/>
          <w:szCs w:val="20"/>
          <w:color w:val="auto"/>
        </w:rPr>
      </w:pPr>
      <w:r>
        <w:rPr>
          <w:rFonts w:ascii="Times New Roman" w:cs="Times New Roman" w:eastAsia="Times New Roman" w:hAnsi="Times New Roman"/>
          <w:sz w:val="18"/>
          <w:szCs w:val="18"/>
          <w:color w:val="auto"/>
        </w:rPr>
        <w:t>2.2.2</w:t>
        <w:tab/>
        <w:t>Upon execution, this Agreement constitutes legal, valid and binding obligations of the Borrower, enforceable against the Borrower in accordance with its terms; and</w:t>
      </w:r>
    </w:p>
    <w:p>
      <w:pPr>
        <w:spacing w:after="0" w:line="162" w:lineRule="exact"/>
        <w:rPr>
          <w:sz w:val="20"/>
          <w:szCs w:val="20"/>
          <w:color w:val="auto"/>
        </w:rPr>
      </w:pPr>
    </w:p>
    <w:p>
      <w:pPr>
        <w:ind w:left="1572" w:right="20" w:hanging="607"/>
        <w:spacing w:after="0" w:line="282" w:lineRule="auto"/>
        <w:tabs>
          <w:tab w:leader="none" w:pos="1551" w:val="left"/>
        </w:tabs>
        <w:rPr>
          <w:sz w:val="20"/>
          <w:szCs w:val="20"/>
          <w:color w:val="auto"/>
        </w:rPr>
      </w:pPr>
      <w:r>
        <w:rPr>
          <w:rFonts w:ascii="Times New Roman" w:cs="Times New Roman" w:eastAsia="Times New Roman" w:hAnsi="Times New Roman"/>
          <w:sz w:val="18"/>
          <w:szCs w:val="18"/>
          <w:color w:val="auto"/>
        </w:rPr>
        <w:t>2.2.3</w:t>
        <w:tab/>
        <w:t>There are no disputes, litigation, arbitration, administrative proceedings or any other legal proceedings pending or, to the Borrower’s knowledge, threatened against the Borrower.</w:t>
      </w:r>
    </w:p>
    <w:p>
      <w:pPr>
        <w:spacing w:after="0" w:line="158" w:lineRule="exact"/>
        <w:rPr>
          <w:sz w:val="20"/>
          <w:szCs w:val="20"/>
          <w:color w:val="auto"/>
        </w:rPr>
      </w:pPr>
    </w:p>
    <w:p>
      <w:pPr>
        <w:ind w:left="332" w:hanging="332"/>
        <w:spacing w:after="0"/>
        <w:tabs>
          <w:tab w:leader="none" w:pos="332"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of the Borrower</w:t>
      </w:r>
    </w:p>
    <w:p>
      <w:pPr>
        <w:spacing w:after="0" w:line="229"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Borrower, in its capacity as a shareholder of Xinsi, hereby irrevocably undertakes that during the term of this</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Agreement it shall procure that Xinsi shall:</w:t>
      </w:r>
    </w:p>
    <w:p>
      <w:pPr>
        <w:spacing w:after="0" w:line="207" w:lineRule="exact"/>
        <w:rPr>
          <w:sz w:val="20"/>
          <w:szCs w:val="20"/>
          <w:color w:val="auto"/>
        </w:rPr>
      </w:pPr>
    </w:p>
    <w:p>
      <w:pPr>
        <w:jc w:val="both"/>
        <w:ind w:left="1612" w:hanging="647"/>
        <w:spacing w:after="0" w:line="256" w:lineRule="auto"/>
        <w:tabs>
          <w:tab w:leader="none" w:pos="1591" w:val="left"/>
        </w:tabs>
        <w:rPr>
          <w:sz w:val="20"/>
          <w:szCs w:val="20"/>
          <w:color w:val="auto"/>
        </w:rPr>
      </w:pPr>
      <w:r>
        <w:rPr>
          <w:rFonts w:ascii="Times New Roman" w:cs="Times New Roman" w:eastAsia="Times New Roman" w:hAnsi="Times New Roman"/>
          <w:sz w:val="18"/>
          <w:szCs w:val="18"/>
          <w:color w:val="auto"/>
        </w:rPr>
        <w:t>3.1.1</w:t>
        <w:tab/>
        <w:t>strictly comply with the provisions of the Exclusive Option Agreement, the Equity Pledge Agreement (including any amendments, supplements or restatements thereto,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and the Exclusive Business Cooperation Agreement (including any amendments, supplements or restatements thereto, “</w:t>
      </w:r>
      <w:r>
        <w:rPr>
          <w:rFonts w:ascii="Times New Roman" w:cs="Times New Roman" w:eastAsia="Times New Roman" w:hAnsi="Times New Roman"/>
          <w:sz w:val="18"/>
          <w:szCs w:val="18"/>
          <w:b w:val="1"/>
          <w:bCs w:val="1"/>
          <w:color w:val="auto"/>
        </w:rPr>
        <w:t>Exclusive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Cooperation Agreement</w:t>
      </w:r>
      <w:r>
        <w:rPr>
          <w:rFonts w:ascii="Times New Roman" w:cs="Times New Roman" w:eastAsia="Times New Roman" w:hAnsi="Times New Roman"/>
          <w:sz w:val="18"/>
          <w:szCs w:val="18"/>
          <w:color w:val="auto"/>
        </w:rPr>
        <w:t>”) to which Xinsi is a party, and shall not take or omit to take any action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adversely affect the validity or enforceability of the Exclusive Option Agreement, the Equity Pledge Agreement or the Exclusive Business Cooperation Agreement;</w:t>
      </w:r>
    </w:p>
    <w:p>
      <w:pPr>
        <w:spacing w:after="0" w:line="187" w:lineRule="exact"/>
        <w:rPr>
          <w:sz w:val="20"/>
          <w:szCs w:val="20"/>
          <w:color w:val="auto"/>
        </w:rPr>
      </w:pPr>
    </w:p>
    <w:p>
      <w:pPr>
        <w:jc w:val="both"/>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3.1.2</w:t>
        <w:tab/>
        <w:t>upon the request of the Lender (or its designee), enter into business cooperation contracts or agreements with the Lender (or its designee) at any time and ensure strict performance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41" w:name="page442"/>
    <w:bookmarkEnd w:id="441"/>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3.1.3</w:t>
        <w:tab/>
        <w:t>upon the request of the Lender, provide the Lender with all information relating to its operations and financial condition;</w:t>
      </w:r>
    </w:p>
    <w:p>
      <w:pPr>
        <w:spacing w:after="0" w:line="162"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3.1.4</w:t>
        <w:tab/>
        <w:t>promptly notify the Lender of any litigation, arbitration or administrative proceeding relating to the Lender that has occurred or may occur;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the term of this Agreement, the Borrower shall:</w:t>
      </w:r>
    </w:p>
    <w:p>
      <w:pPr>
        <w:spacing w:after="0" w:line="225"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3.2.1</w:t>
        <w:tab/>
        <w:t>strictly comply with all provisions of this Agreement, the Power of Attorney, the Equity Pledge Agreement and the Exclusive Option Agreement to which it is a party, faithfully perform all of its obligations thereunder, and not take or omit to take any action that may adversely affect the validity or enforceability of this Agreement, the Power of Attorney, the Equity Pledge Agreement or the Exclusive Option Agreement;</w:t>
      </w:r>
    </w:p>
    <w:p>
      <w:pPr>
        <w:spacing w:after="0" w:line="180"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3.2.2</w:t>
        <w:tab/>
        <w:t>except as provided under the Equity Pledge Agreement, not sell, transfer, mortgage or otherwise dispose of any legal or beneficial interest in the Equity Interests, nor permit any other Security Interest to be created thereon;</w:t>
      </w:r>
    </w:p>
    <w:p>
      <w:pPr>
        <w:spacing w:after="0" w:line="162"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3.2.3</w:t>
        <w:tab/>
        <w:t>procure that the shareholders’ meeting and/or the board of directors of Xinsi shall not approve, without the prior written consent of the Lender, any sale, transfer, mortgage or other disposition of any legal or beneficial interest in the Equity Interests, nor permit any Security Interest to be created thereon, except for transfers made to the Lender or any Person designated by the Lender;</w:t>
      </w:r>
    </w:p>
    <w:p>
      <w:pPr>
        <w:spacing w:after="0" w:line="180"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3.2.4</w:t>
        <w:tab/>
        <w:t>procure that the shareholders’ meeting and/or the board of directors of Xinsi shall not approve any merger or consolidation with any Person, or any acquisition of or investment in any Person, without the prior written consent of the Lender;</w:t>
      </w:r>
    </w:p>
    <w:p>
      <w:pPr>
        <w:spacing w:after="0" w:line="176"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3.2.5</w:t>
        <w:tab/>
        <w:t>promptly notify the Lender of any litigation, arbitration or administrative proceeding relating to the Equity Interests that has occurred or may occur;</w:t>
      </w:r>
    </w:p>
    <w:p>
      <w:pPr>
        <w:spacing w:after="0" w:line="16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3.2.6</w:t>
        <w:tab/>
        <w:t>execute all necessary or appropriate documents, take all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42" w:name="page443"/>
    <w:bookmarkEnd w:id="442"/>
    <w:p>
      <w:pPr>
        <w:ind w:left="1612"/>
        <w:spacing w:after="0" w:line="282" w:lineRule="auto"/>
        <w:rPr>
          <w:sz w:val="20"/>
          <w:szCs w:val="20"/>
          <w:color w:val="auto"/>
        </w:rPr>
      </w:pPr>
      <w:r>
        <w:rPr>
          <w:rFonts w:ascii="Times New Roman" w:cs="Times New Roman" w:eastAsia="Times New Roman" w:hAnsi="Times New Roman"/>
          <w:sz w:val="18"/>
          <w:szCs w:val="18"/>
          <w:color w:val="auto"/>
        </w:rPr>
        <w:t>appropriate actions, file all necessary or appropriate claims, and make all necessary or appropriate defenses in order to maintain its ownership of the Equity Interests;</w:t>
      </w:r>
    </w:p>
    <w:p>
      <w:pPr>
        <w:spacing w:after="0" w:line="162" w:lineRule="exact"/>
        <w:rPr>
          <w:sz w:val="20"/>
          <w:szCs w:val="20"/>
          <w:color w:val="auto"/>
        </w:rPr>
      </w:pPr>
    </w:p>
    <w:p>
      <w:pPr>
        <w:jc w:val="both"/>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3.2.7</w:t>
        <w:tab/>
        <w:t>without the prior written consent of the Lender, not take or omit to take any action that may materially affect the assets or liabilities of Xinsi;</w:t>
      </w:r>
    </w:p>
    <w:p>
      <w:pPr>
        <w:spacing w:after="0" w:line="162"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3.2.8</w:t>
        <w:tab/>
        <w:t>at the request of the Lender, appoint any Person designated by the Lender as a director or supervisor of Xinsi;</w:t>
      </w:r>
    </w:p>
    <w:p>
      <w:pPr>
        <w:spacing w:after="0" w:line="225" w:lineRule="exact"/>
        <w:rPr>
          <w:sz w:val="20"/>
          <w:szCs w:val="20"/>
          <w:color w:val="auto"/>
        </w:rPr>
      </w:pPr>
    </w:p>
    <w:p>
      <w:pPr>
        <w:jc w:val="both"/>
        <w:ind w:left="1612" w:right="20"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3.2.9</w:t>
        <w:tab/>
        <w:t>to the extent permitted under the PRC laws, upon the request of the Lender at any time, unconditionally and immediately transfer the Equity Interests to the Lender or its designated representative, and procure that the other shareholders of Xinsi waive any right of first refusal with respect to such transfer of equity interest described in this paragraph;</w:t>
      </w:r>
    </w:p>
    <w:p>
      <w:pPr>
        <w:spacing w:after="0" w:line="180" w:lineRule="exact"/>
        <w:rPr>
          <w:sz w:val="20"/>
          <w:szCs w:val="20"/>
          <w:color w:val="auto"/>
        </w:rPr>
      </w:pPr>
    </w:p>
    <w:p>
      <w:pPr>
        <w:jc w:val="both"/>
        <w:ind w:left="1612"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3.2.10</w:t>
        <w:tab/>
        <w:t>to the extent permitted under the PRC laws, upon the request of the Lender at any time, procure that the other shareholders of Xinsi unconditionally and immediately transfer all of their equity interests in Xinsi to the Lender or its designated representative, and the Borrower hereby waives any right of first refusal with respect to such transfer described in this paragraph;</w:t>
      </w:r>
    </w:p>
    <w:p>
      <w:pPr>
        <w:spacing w:after="0" w:line="180" w:lineRule="exact"/>
        <w:rPr>
          <w:sz w:val="20"/>
          <w:szCs w:val="20"/>
          <w:color w:val="auto"/>
        </w:rPr>
      </w:pPr>
    </w:p>
    <w:p>
      <w:pPr>
        <w:jc w:val="both"/>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3.2.11</w:t>
        <w:tab/>
        <w:t>if the Lender purchases the Equity Interests from the Borrower pursuant to the Exclusive Option Agreement, apply all proceeds obtained from such purchase price toward repayment of the Loan in priority;</w:t>
      </w:r>
    </w:p>
    <w:p>
      <w:pPr>
        <w:spacing w:after="0" w:line="162" w:lineRule="exact"/>
        <w:rPr>
          <w:sz w:val="20"/>
          <w:szCs w:val="20"/>
          <w:color w:val="auto"/>
        </w:rPr>
      </w:pPr>
    </w:p>
    <w:p>
      <w:pPr>
        <w:jc w:val="both"/>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3.2.12</w:t>
        <w:tab/>
        <w:t>without the prior written consent of the Lender, not supplement, amend or modify its constitutional documents, increase or decrease its registered capital, or otherwise alter its capital structure; and</w:t>
      </w:r>
    </w:p>
    <w:p>
      <w:pPr>
        <w:spacing w:after="0" w:line="162" w:lineRule="exact"/>
        <w:rPr>
          <w:sz w:val="20"/>
          <w:szCs w:val="20"/>
          <w:color w:val="auto"/>
        </w:rPr>
      </w:pPr>
    </w:p>
    <w:p>
      <w:pPr>
        <w:jc w:val="both"/>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3.2.13</w:t>
        <w:tab/>
        <w:t>duly pay in the full amount of registered capital corresponding to the Equity Interests and shall provide the Lender with valid capital contribution certificates evidencing such contribution.</w:t>
      </w:r>
    </w:p>
    <w:p>
      <w:pPr>
        <w:spacing w:after="0" w:line="158" w:lineRule="exact"/>
        <w:rPr>
          <w:sz w:val="20"/>
          <w:szCs w:val="20"/>
          <w:color w:val="auto"/>
        </w:rPr>
      </w:pPr>
    </w:p>
    <w:p>
      <w:pPr>
        <w:ind w:left="372" w:hanging="372"/>
        <w:spacing w:after="0"/>
        <w:tabs>
          <w:tab w:leader="none" w:pos="372"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43" w:name="page444"/>
    <w:bookmarkEnd w:id="443"/>
    <w:p>
      <w:pPr>
        <w:jc w:val="both"/>
        <w:ind w:left="972"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If the Borrower materially breaches any provision of this Agreement, the Lender shall have the right to terminate this Agreement and require the Borrower to compensate for damages. This Section 4.1 shall not prejudice any other rights of the Lender under this Agreement.</w:t>
      </w:r>
    </w:p>
    <w:p>
      <w:pPr>
        <w:spacing w:after="0" w:line="176" w:lineRule="exact"/>
        <w:rPr>
          <w:sz w:val="20"/>
          <w:szCs w:val="20"/>
          <w:color w:val="auto"/>
        </w:rPr>
      </w:pPr>
    </w:p>
    <w:p>
      <w:pPr>
        <w:jc w:val="both"/>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Except as otherwise required by applicable laws, the Borrower shall not have any right to terminate or rescind this Agreement under any circumstances.</w:t>
      </w:r>
    </w:p>
    <w:p>
      <w:pPr>
        <w:spacing w:after="0" w:line="162" w:lineRule="exact"/>
        <w:rPr>
          <w:sz w:val="20"/>
          <w:szCs w:val="20"/>
          <w:color w:val="auto"/>
        </w:rPr>
      </w:pPr>
    </w:p>
    <w:p>
      <w:pPr>
        <w:jc w:val="both"/>
        <w:ind w:left="972"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If the Borrower fails to perform its repayment obligations within the period specified in this Agreement, the Borrower shall pay overdue interest at a rate of 0.05% per day on the overdue amount until the Borrower has fully repaid the Loan principal, overdue interest and all other amounts payable.</w:t>
      </w:r>
    </w:p>
    <w:p>
      <w:pPr>
        <w:spacing w:after="0" w:line="172" w:lineRule="exact"/>
        <w:rPr>
          <w:sz w:val="20"/>
          <w:szCs w:val="20"/>
          <w:color w:val="auto"/>
        </w:rPr>
      </w:pPr>
    </w:p>
    <w:p>
      <w:pPr>
        <w:ind w:left="332" w:hanging="332"/>
        <w:spacing w:after="0"/>
        <w:tabs>
          <w:tab w:leader="none" w:pos="332"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97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5.1.1</w:t>
        <w:tab/>
        <w:t>If delivered by hand, courier service or registered mail (postage prepaid), the date of dispatch shall be deemed the effective delivery date;</w:t>
      </w:r>
    </w:p>
    <w:p>
      <w:pPr>
        <w:spacing w:after="0" w:line="162" w:lineRule="exact"/>
        <w:rPr>
          <w:sz w:val="20"/>
          <w:szCs w:val="20"/>
          <w:color w:val="auto"/>
        </w:rPr>
      </w:pPr>
    </w:p>
    <w:p>
      <w:pPr>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5.1.2</w:t>
        <w:tab/>
        <w:t>If delivered by facsimile, the date of successful transmission (as evidenced by the automatically generated transmission confirmation) shall be deemed the effective delivery date.</w:t>
      </w:r>
    </w:p>
    <w:p>
      <w:pPr>
        <w:spacing w:after="0" w:line="158" w:lineRule="exact"/>
        <w:rPr>
          <w:sz w:val="20"/>
          <w:szCs w:val="20"/>
          <w:color w:val="auto"/>
        </w:rPr>
      </w:pPr>
    </w:p>
    <w:p>
      <w:pPr>
        <w:ind w:left="332" w:hanging="332"/>
        <w:spacing w:after="0"/>
        <w:tabs>
          <w:tab w:leader="none" w:pos="332"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44" w:name="page445"/>
    <w:bookmarkEnd w:id="444"/>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83" w:lineRule="exact"/>
        <w:rPr>
          <w:sz w:val="20"/>
          <w:szCs w:val="20"/>
          <w:color w:val="auto"/>
        </w:rPr>
      </w:pPr>
    </w:p>
    <w:p>
      <w:pPr>
        <w:ind w:left="340" w:hanging="332"/>
        <w:spacing w:after="0"/>
        <w:tabs>
          <w:tab w:leader="none" w:pos="34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7.1The execution, validity, interpretation, performance, amendment and termination of this Agreement and the resolution of any disputes hereunder shall be governed by the the PRC laws.</w:t>
      </w:r>
    </w:p>
    <w:p>
      <w:pPr>
        <w:spacing w:after="0" w:line="161" w:lineRule="exact"/>
        <w:rPr>
          <w:rFonts w:ascii="Times New Roman" w:cs="Times New Roman" w:eastAsia="Times New Roman" w:hAnsi="Times New Roman"/>
          <w:sz w:val="18"/>
          <w:szCs w:val="18"/>
          <w:b w:val="1"/>
          <w:bCs w:val="1"/>
          <w:color w:val="auto"/>
        </w:rPr>
      </w:pPr>
    </w:p>
    <w:p>
      <w:pPr>
        <w:ind w:left="9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7.2Any dispute arising from the interpretation or performance of this Agreement shall first be resolved through friendly consultation between the Parties. If the dispute cannot be resolved within thirty (30) days after one Party delivers a written notice requesting consultation, any Party may submit such dispute to the court of competent jurisdiction at the place of domicile of the plaintiff for litigation.</w:t>
      </w:r>
    </w:p>
    <w:p>
      <w:pPr>
        <w:spacing w:after="0" w:line="179" w:lineRule="exact"/>
        <w:rPr>
          <w:rFonts w:ascii="Times New Roman" w:cs="Times New Roman" w:eastAsia="Times New Roman" w:hAnsi="Times New Roman"/>
          <w:sz w:val="18"/>
          <w:szCs w:val="18"/>
          <w:b w:val="1"/>
          <w:bCs w:val="1"/>
          <w:color w:val="auto"/>
        </w:rPr>
      </w:pPr>
    </w:p>
    <w:p>
      <w:pPr>
        <w:ind w:left="98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8.1This Agreement shall become effective upon execution by the Parties and shall terminate upon full performance by the Parties of their respective obligations hereunder.</w:t>
      </w:r>
    </w:p>
    <w:p>
      <w:pPr>
        <w:spacing w:after="0" w:line="161" w:lineRule="exact"/>
        <w:rPr>
          <w:rFonts w:ascii="Times New Roman" w:cs="Times New Roman" w:eastAsia="Times New Roman" w:hAnsi="Times New Roman"/>
          <w:sz w:val="18"/>
          <w:szCs w:val="18"/>
          <w:b w:val="1"/>
          <w:bCs w:val="1"/>
          <w:color w:val="auto"/>
        </w:rPr>
      </w:pPr>
    </w:p>
    <w:p>
      <w:pPr>
        <w:ind w:left="98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8.2This Agreement is executed in two (2) originals, one held by the Lender and one held by the Borrower, and both originals shall have equal legal effect.</w:t>
      </w:r>
    </w:p>
    <w:p>
      <w:pPr>
        <w:spacing w:after="0" w:line="161" w:lineRule="exact"/>
        <w:rPr>
          <w:rFonts w:ascii="Times New Roman" w:cs="Times New Roman" w:eastAsia="Times New Roman" w:hAnsi="Times New Roman"/>
          <w:sz w:val="18"/>
          <w:szCs w:val="18"/>
          <w:b w:val="1"/>
          <w:bCs w:val="1"/>
          <w:color w:val="auto"/>
        </w:rPr>
      </w:pPr>
    </w:p>
    <w:p>
      <w:pPr>
        <w:ind w:left="98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8.3Any amendment or supplement to this Agreement shall be made in writing and signed by the Parties. Any amendment agreement and/or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5" w:name="page446"/>
    <w:bookmarkEnd w:id="445"/>
    <w:p>
      <w:pPr>
        <w:ind w:left="640"/>
        <w:spacing w:after="0" w:line="282" w:lineRule="auto"/>
        <w:rPr>
          <w:sz w:val="20"/>
          <w:szCs w:val="20"/>
          <w:color w:val="auto"/>
        </w:rPr>
      </w:pPr>
      <w:r>
        <w:rPr>
          <w:rFonts w:ascii="Times New Roman" w:cs="Times New Roman" w:eastAsia="Times New Roman" w:hAnsi="Times New Roman"/>
          <w:sz w:val="18"/>
          <w:szCs w:val="18"/>
          <w:color w:val="auto"/>
        </w:rPr>
        <w:t>agreement relating to this Agreement shall form an integral part hereof and shall have the same legal effect as this Agreement.</w:t>
      </w:r>
    </w:p>
    <w:p>
      <w:pPr>
        <w:spacing w:after="0" w:line="16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Any annexes (if any) to this Agreement shall form an integral part hereof and shall have the same legal effect as this Agreement.</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Any obligations incurred or accrued under this Agreement prior to expiration or early termination shall survive such expiration or termination. The provisions of Sections 4, 6, 7 and this Section 8.6 shall survive the termination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46" w:name="page447"/>
    <w:bookmarkEnd w:id="446"/>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Loan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802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Kening Wu</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47" w:name="page448"/>
    <w:bookmarkEnd w:id="447"/>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Loan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288861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48" w:name="page449"/>
    <w:bookmarkEnd w:id="448"/>
    <w:p>
      <w:pPr>
        <w:jc w:val="right"/>
        <w:spacing w:after="0"/>
        <w:rPr>
          <w:sz w:val="20"/>
          <w:szCs w:val="20"/>
          <w:color w:val="auto"/>
        </w:rPr>
      </w:pPr>
      <w:r>
        <w:rPr>
          <w:rFonts w:ascii="Times New Roman" w:cs="Times New Roman" w:eastAsia="Times New Roman" w:hAnsi="Times New Roman"/>
          <w:sz w:val="18"/>
          <w:szCs w:val="18"/>
          <w:b w:val="1"/>
          <w:bCs w:val="1"/>
          <w:color w:val="auto"/>
        </w:rPr>
        <w:t>Exhibit 4.35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Loan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on </w:t>
      </w:r>
      <w:r>
        <w:rPr>
          <w:rFonts w:ascii="Times New Roman" w:cs="Times New Roman" w:eastAsia="Times New Roman" w:hAnsi="Times New Roman"/>
          <w:sz w:val="18"/>
          <w:szCs w:val="18"/>
          <w:b w:val="1"/>
          <w:bCs w:val="1"/>
          <w:u w:val="single" w:color="auto"/>
          <w:color w:val="auto"/>
        </w:rPr>
        <w:t>February 27, 2025</w:t>
      </w:r>
      <w:r>
        <w:rPr>
          <w:rFonts w:ascii="Times New Roman" w:cs="Times New Roman" w:eastAsia="Times New Roman" w:hAnsi="Times New Roman"/>
          <w:sz w:val="18"/>
          <w:szCs w:val="18"/>
          <w:color w:val="auto"/>
        </w:rPr>
        <w:t xml:space="preserve">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between the following parties:</w:t>
      </w:r>
    </w:p>
    <w:p>
      <w:pPr>
        <w:spacing w:after="0" w:line="203" w:lineRule="exact"/>
        <w:rPr>
          <w:sz w:val="20"/>
          <w:szCs w:val="20"/>
          <w:color w:val="auto"/>
        </w:rPr>
      </w:pPr>
    </w:p>
    <w:p>
      <w:pPr>
        <w:jc w:val="both"/>
        <w:ind w:left="660" w:hanging="652"/>
        <w:spacing w:after="0" w:line="268" w:lineRule="auto"/>
        <w:tabs>
          <w:tab w:leader="none" w:pos="642"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Xunlei Computer (Shenzhen)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 sino-foreign equity joint venture duly established and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the PRC laws, with its address at Room 0610-E12, Port Building, Maritime Center, No. 59 Linhai Avenue, Nanshan Subdistrict, Qianhai Shenzhen-Hongkong Modern Service Industry Cooperation Zone, Shenzhen;</w:t>
      </w:r>
    </w:p>
    <w:p>
      <w:pPr>
        <w:spacing w:after="0" w:line="170"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42"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 Xiaosong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 PRC citizen, ID No. ******************, residing at [Room 310-4-608, Science Park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Zone, Olympic Village Subdistrict, Chaoyang District, Beijing];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and the Borrower are hereinafter referred to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Borrower holds [40]% of the equity interest in Shenzhen Zhilue Xinsi Consulting Co., Ltd. (“</w:t>
      </w:r>
      <w:r>
        <w:rPr>
          <w:rFonts w:ascii="Times New Roman" w:cs="Times New Roman" w:eastAsia="Times New Roman" w:hAnsi="Times New Roman"/>
          <w:sz w:val="18"/>
          <w:szCs w:val="18"/>
          <w:b w:val="1"/>
          <w:bCs w:val="1"/>
          <w:color w:val="auto"/>
        </w:rPr>
        <w:t>Xinsi</w:t>
      </w:r>
      <w:r>
        <w:rPr>
          <w:rFonts w:ascii="Times New Roman" w:cs="Times New Roman" w:eastAsia="Times New Roman" w:hAnsi="Times New Roman"/>
          <w:sz w:val="18"/>
          <w:szCs w:val="18"/>
          <w:color w:val="auto"/>
        </w:rPr>
        <w:t>”), representing registered capital of RMB 40,000 in Xinsi. All equity interests currently held or to be held in the future by the Borrower in Xinsi shall be collectively referred to as the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the Borrower and Xinsi entered into an Exclusive Option Agreement on [Feburary 27], 2025 (including any amendments, supplements or restatements thereto,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pursuant to which the Lender has the right to purchase from the Borrower, at any time and from time to time, the equity interest in Xinsi held by the Borrower.</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it agrees to provide to the Borrower, and the Borrower confirms that it has received, a loan in the amount of RMB [40,000] for the purposes set forth 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through friendly consultation, the Parties hereby agree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color w:val="auto"/>
        </w:rPr>
        <w:t>follows:</w:t>
      </w:r>
    </w:p>
    <w:p>
      <w:pPr>
        <w:spacing w:after="0" w:line="221" w:lineRule="exact"/>
        <w:rPr>
          <w:sz w:val="20"/>
          <w:szCs w:val="20"/>
          <w:color w:val="auto"/>
        </w:rPr>
      </w:pPr>
    </w:p>
    <w:p>
      <w:pPr>
        <w:ind w:left="340" w:hanging="332"/>
        <w:spacing w:after="0"/>
        <w:tabs>
          <w:tab w:leader="none" w:pos="34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1.1Subject to the terms of this Agreement, the Lender and the Borrower hereby confirm that the Borrower has obtained from the Lender a loan in the amount of RMB [40,000]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Upon expiration of the Loan term, the Loan term shall automatically be extended for successive ten (10)-year periods unless the Lender raises any objection prior to such expiration. The Lender shall have the right, at its sole discretion and based on actual circumstances, to unilaterally extend or shorten the Loan term. During the Loan term or any extended Loan term, upon the occurrence of any of the following events, the Borrower shall immediately prepay the Loan in full, unless otherwise waived by the Lender:</w:t>
      </w:r>
    </w:p>
    <w:p>
      <w:pPr>
        <w:spacing w:after="0" w:line="18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1.1.1</w:t>
        <w:tab/>
        <w:t>Thirty (30) days have elapsed after the Borrower receives a written notice from the Lender requiring repayment;</w:t>
      </w:r>
    </w:p>
    <w:p>
      <w:pPr>
        <w:spacing w:after="0" w:line="225" w:lineRule="exact"/>
        <w:rPr>
          <w:sz w:val="20"/>
          <w:szCs w:val="20"/>
          <w:color w:val="auto"/>
        </w:rPr>
      </w:pPr>
    </w:p>
    <w:p>
      <w:pPr>
        <w:jc w:val="both"/>
        <w:ind w:left="1620" w:right="20" w:hanging="647"/>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1.1.2</w:t>
        <w:tab/>
        <w:t>for any reason whatsoever, the Borrower no longer holds any position with the Lender, Xinsi or any of their Affiliates;</w:t>
      </w:r>
    </w:p>
    <w:p>
      <w:pPr>
        <w:spacing w:after="0" w:line="162"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The Borrower engages in criminal conduct or becomes involved in criminal activities;</w:t>
      </w:r>
    </w:p>
    <w:p>
      <w:pPr>
        <w:spacing w:after="0" w:line="225" w:lineRule="exact"/>
        <w:rPr>
          <w:sz w:val="20"/>
          <w:szCs w:val="20"/>
          <w:color w:val="auto"/>
        </w:rPr>
      </w:pPr>
    </w:p>
    <w:p>
      <w:pPr>
        <w:jc w:val="both"/>
        <w:ind w:left="1620" w:hanging="647"/>
        <w:spacing w:after="0" w:line="258" w:lineRule="auto"/>
        <w:tabs>
          <w:tab w:leader="none" w:pos="1600" w:val="left"/>
        </w:tabs>
        <w:rPr>
          <w:sz w:val="20"/>
          <w:szCs w:val="20"/>
          <w:color w:val="auto"/>
        </w:rPr>
      </w:pPr>
      <w:r>
        <w:rPr>
          <w:rFonts w:ascii="Times New Roman" w:cs="Times New Roman" w:eastAsia="Times New Roman" w:hAnsi="Times New Roman"/>
          <w:sz w:val="18"/>
          <w:szCs w:val="18"/>
          <w:color w:val="auto"/>
        </w:rPr>
        <w:t>1.1.4</w:t>
        <w:tab/>
        <w:t>pursuant to applicable PRC laws, foreign investors are permitted to hold a controlling interest in and/or wholly own the principal business currently conducted in the PRC by Shenzhen Suqu Network Technology Co., Ltd., a company in which Xinsi holds equity interests, the competent PRC authorities commence approval of such business, and the Lender determines to exercise its exclusive purchase right under the Exclusive Option Agreement.</w:t>
      </w:r>
    </w:p>
    <w:p>
      <w:pPr>
        <w:spacing w:after="0" w:line="183" w:lineRule="exact"/>
        <w:rPr>
          <w:sz w:val="20"/>
          <w:szCs w:val="20"/>
          <w:color w:val="auto"/>
        </w:rPr>
      </w:pPr>
    </w:p>
    <w:p>
      <w:pPr>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Loan provided by the Lender under this Agreement shall be applicable solely to the Borrower and shall not apply to any successor or assignee of the Borrower.</w:t>
      </w:r>
    </w:p>
    <w:p>
      <w:pPr>
        <w:spacing w:after="0" w:line="162" w:lineRule="exact"/>
        <w:rPr>
          <w:sz w:val="20"/>
          <w:szCs w:val="20"/>
          <w:color w:val="auto"/>
        </w:rPr>
      </w:pPr>
    </w:p>
    <w:p>
      <w:pPr>
        <w:ind w:left="980" w:right="2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Borrower agrees to accept the Loan provided by the Lender and hereby agrees and undertakes that the Loan shall be used solely for the purpose of paying the equity transfer consideration for the Borrower’s acquisition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0" w:name="page451"/>
    <w:bookmarkEnd w:id="450"/>
    <w:p>
      <w:pPr>
        <w:ind w:left="972"/>
        <w:spacing w:after="0" w:line="282" w:lineRule="auto"/>
        <w:rPr>
          <w:sz w:val="20"/>
          <w:szCs w:val="20"/>
          <w:color w:val="auto"/>
        </w:rPr>
      </w:pPr>
      <w:r>
        <w:rPr>
          <w:rFonts w:ascii="Times New Roman" w:cs="Times New Roman" w:eastAsia="Times New Roman" w:hAnsi="Times New Roman"/>
          <w:sz w:val="18"/>
          <w:szCs w:val="18"/>
          <w:color w:val="auto"/>
        </w:rPr>
        <w:t>equity interest in Xinsi. Without the prior written consent of the Lender, the Borrower shall not use the Loan for any other purpose.</w:t>
      </w:r>
    </w:p>
    <w:p>
      <w:pPr>
        <w:spacing w:after="0" w:line="162" w:lineRule="exact"/>
        <w:rPr>
          <w:sz w:val="20"/>
          <w:szCs w:val="20"/>
          <w:color w:val="auto"/>
        </w:rPr>
      </w:pPr>
    </w:p>
    <w:p>
      <w:pPr>
        <w:jc w:val="both"/>
        <w:ind w:left="972" w:hanging="647"/>
        <w:spacing w:after="0" w:line="256" w:lineRule="auto"/>
        <w:tabs>
          <w:tab w:leader="none" w:pos="951"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Lender and the Borrower hereby agree and confirm that the repayment method of the Borrower shall be determined solely by the Lender from the following methods: pursuant to the Lender’s right to purchase the Equity Interests under the Exclusive Option Agreement, the Borrower shall transfer all of the Equity Interests held by it to the Lender or any Person designated by the Lender, and any proceeds obtained by the Borrower from such transfer of the Equity Interests (to the permitted extent) shall be used to repay the Loan owed by the Borrower to the Lender, all of which shall be paid to the Lender in the manner designated by the Lender.</w:t>
      </w:r>
    </w:p>
    <w:p>
      <w:pPr>
        <w:spacing w:after="0" w:line="187" w:lineRule="exact"/>
        <w:rPr>
          <w:sz w:val="20"/>
          <w:szCs w:val="20"/>
          <w:color w:val="auto"/>
        </w:rPr>
      </w:pPr>
    </w:p>
    <w:p>
      <w:pPr>
        <w:jc w:val="both"/>
        <w:ind w:left="972" w:hanging="647"/>
        <w:spacing w:after="0" w:line="261" w:lineRule="auto"/>
        <w:tabs>
          <w:tab w:leader="none" w:pos="951"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Lender and the Borrower hereby agree and confirm that, to the extent permitted under applicable laws, the Lender shall have the right, but not the obligation, at any time to purchase or designate any other Person (whether a legal entity or natural person) to purchase all or part of the Equity Interests at the purchase price specified in the Exclusive Option Agreement.</w:t>
      </w:r>
    </w:p>
    <w:p>
      <w:pPr>
        <w:spacing w:after="0" w:line="180" w:lineRule="exact"/>
        <w:rPr>
          <w:sz w:val="20"/>
          <w:szCs w:val="20"/>
          <w:color w:val="auto"/>
        </w:rPr>
      </w:pPr>
    </w:p>
    <w:p>
      <w:pPr>
        <w:jc w:val="both"/>
        <w:ind w:left="972"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Borrower undertakes to execute an irrevocable Power of Attorney (including any amendments, supplements or restatements thereto, “Power of Attorney”), pursuant to which all shareholder rights of the Borrower in Xinsi shall be entrusted to the Lender or any legal entity or natural person designated by the Lender for exercise.</w:t>
      </w:r>
    </w:p>
    <w:p>
      <w:pPr>
        <w:spacing w:after="0" w:line="176"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Unless otherwise agreed in this Agreement, the Loan shall be interest-free.</w:t>
      </w:r>
    </w:p>
    <w:p>
      <w:pPr>
        <w:spacing w:after="0" w:line="221" w:lineRule="exact"/>
        <w:rPr>
          <w:sz w:val="20"/>
          <w:szCs w:val="20"/>
          <w:color w:val="auto"/>
        </w:rPr>
      </w:pPr>
    </w:p>
    <w:p>
      <w:pPr>
        <w:ind w:left="332" w:hanging="332"/>
        <w:spacing w:after="0"/>
        <w:tabs>
          <w:tab w:leader="none" w:pos="332"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From the date of execution of this Agreement until the termination hereof, the Lender hereby represents and warrants to the</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Borrower as follows:</w:t>
      </w:r>
    </w:p>
    <w:p>
      <w:pPr>
        <w:spacing w:after="0" w:line="207"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The Lender is a company duly incorporated and validly existing under the PRC laws;</w:t>
      </w:r>
    </w:p>
    <w:p>
      <w:pPr>
        <w:spacing w:after="0" w:line="225" w:lineRule="exact"/>
        <w:rPr>
          <w:sz w:val="20"/>
          <w:szCs w:val="20"/>
          <w:color w:val="auto"/>
        </w:rPr>
      </w:pPr>
    </w:p>
    <w:p>
      <w:pPr>
        <w:jc w:val="both"/>
        <w:ind w:left="1612" w:hanging="647"/>
        <w:spacing w:after="0" w:line="266" w:lineRule="auto"/>
        <w:tabs>
          <w:tab w:leader="none" w:pos="1591" w:val="left"/>
        </w:tabs>
        <w:rPr>
          <w:sz w:val="20"/>
          <w:szCs w:val="20"/>
          <w:color w:val="auto"/>
        </w:rPr>
      </w:pPr>
      <w:r>
        <w:rPr>
          <w:rFonts w:ascii="Times New Roman" w:cs="Times New Roman" w:eastAsia="Times New Roman" w:hAnsi="Times New Roman"/>
          <w:sz w:val="18"/>
          <w:szCs w:val="18"/>
          <w:color w:val="auto"/>
        </w:rPr>
        <w:t>2.1.2</w:t>
        <w:tab/>
        <w:t>The Lender has full power and authority to execute and perform this Agreement. The execution and performance of this Agreement are within the Lender’s business scope and are not inconsistent with its articles of association or other organizational documents,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51" w:name="page452"/>
    <w:bookmarkEnd w:id="451"/>
    <w:p>
      <w:pPr>
        <w:ind w:left="1612"/>
        <w:spacing w:after="0" w:line="282" w:lineRule="auto"/>
        <w:rPr>
          <w:sz w:val="20"/>
          <w:szCs w:val="20"/>
          <w:color w:val="auto"/>
        </w:rPr>
      </w:pPr>
      <w:r>
        <w:rPr>
          <w:rFonts w:ascii="Times New Roman" w:cs="Times New Roman" w:eastAsia="Times New Roman" w:hAnsi="Times New Roman"/>
          <w:sz w:val="18"/>
          <w:szCs w:val="18"/>
          <w:color w:val="auto"/>
        </w:rPr>
        <w:t>Lender has obtained all necessary and appropriate approvals and authorizations for the execution and performance of this Agreement; and</w:t>
      </w:r>
    </w:p>
    <w:p>
      <w:pPr>
        <w:spacing w:after="0" w:line="162" w:lineRule="exact"/>
        <w:rPr>
          <w:sz w:val="20"/>
          <w:szCs w:val="20"/>
          <w:color w:val="auto"/>
        </w:rPr>
      </w:pPr>
    </w:p>
    <w:p>
      <w:pPr>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2.1.3</w:t>
        <w:tab/>
        <w:t>Upon execution, this Agreement constitutes legal, valid and binding obligations of the Lender, enforceable against the Lender in accordance with its terms.</w:t>
      </w:r>
    </w:p>
    <w:p>
      <w:pPr>
        <w:spacing w:after="0" w:line="162" w:lineRule="exact"/>
        <w:rPr>
          <w:sz w:val="20"/>
          <w:szCs w:val="20"/>
          <w:color w:val="auto"/>
        </w:rPr>
      </w:pPr>
    </w:p>
    <w:p>
      <w:pPr>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From the date of execution of this Agreement until the termination hereof, the Borrower hereby represents and warrants as follows:</w:t>
      </w:r>
    </w:p>
    <w:p>
      <w:pPr>
        <w:spacing w:after="0" w:line="162" w:lineRule="exact"/>
        <w:rPr>
          <w:sz w:val="20"/>
          <w:szCs w:val="20"/>
          <w:color w:val="auto"/>
        </w:rPr>
      </w:pPr>
    </w:p>
    <w:p>
      <w:pPr>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2.2.1</w:t>
        <w:tab/>
        <w:t>The Borrower is a natural person with full civil capacity and has the legal authority to execute and perform this Agreement;</w:t>
      </w:r>
    </w:p>
    <w:p>
      <w:pPr>
        <w:spacing w:after="0" w:line="162" w:lineRule="exact"/>
        <w:rPr>
          <w:sz w:val="20"/>
          <w:szCs w:val="20"/>
          <w:color w:val="auto"/>
        </w:rPr>
      </w:pPr>
    </w:p>
    <w:p>
      <w:pPr>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2.2.2</w:t>
        <w:tab/>
        <w:t>Upon execution, this Agreement constitutes legal, valid and binding obligations of the Borrower, enforceable against the Borrower in accordance with its terms; and</w:t>
      </w:r>
    </w:p>
    <w:p>
      <w:pPr>
        <w:spacing w:after="0" w:line="162" w:lineRule="exact"/>
        <w:rPr>
          <w:sz w:val="20"/>
          <w:szCs w:val="20"/>
          <w:color w:val="auto"/>
        </w:rPr>
      </w:pPr>
    </w:p>
    <w:p>
      <w:pPr>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2.2.3</w:t>
        <w:tab/>
        <w:t>There are no disputes, litigation, arbitration, administrative proceedings or any other legal proceedings pending or, to the Borrower’s knowledge, threatened against the Borrower.</w:t>
      </w:r>
    </w:p>
    <w:p>
      <w:pPr>
        <w:spacing w:after="0" w:line="158" w:lineRule="exact"/>
        <w:rPr>
          <w:sz w:val="20"/>
          <w:szCs w:val="20"/>
          <w:color w:val="auto"/>
        </w:rPr>
      </w:pPr>
    </w:p>
    <w:p>
      <w:pPr>
        <w:ind w:left="332" w:hanging="332"/>
        <w:spacing w:after="0"/>
        <w:tabs>
          <w:tab w:leader="none" w:pos="332"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of the Borrower</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Borrower, in its capacity as a shareholder of Xinsi, hereby irrevocably undertakes that during the term of this Agreement it shall procure that Xinsi shall:</w:t>
      </w:r>
    </w:p>
    <w:p>
      <w:pPr>
        <w:spacing w:after="0" w:line="162" w:lineRule="exact"/>
        <w:rPr>
          <w:sz w:val="20"/>
          <w:szCs w:val="20"/>
          <w:color w:val="auto"/>
        </w:rPr>
      </w:pPr>
    </w:p>
    <w:p>
      <w:pPr>
        <w:jc w:val="both"/>
        <w:ind w:left="1612" w:hanging="647"/>
        <w:spacing w:after="0" w:line="256" w:lineRule="auto"/>
        <w:tabs>
          <w:tab w:leader="none" w:pos="1591" w:val="left"/>
        </w:tabs>
        <w:rPr>
          <w:sz w:val="20"/>
          <w:szCs w:val="20"/>
          <w:color w:val="auto"/>
        </w:rPr>
      </w:pPr>
      <w:r>
        <w:rPr>
          <w:rFonts w:ascii="Times New Roman" w:cs="Times New Roman" w:eastAsia="Times New Roman" w:hAnsi="Times New Roman"/>
          <w:sz w:val="18"/>
          <w:szCs w:val="18"/>
          <w:color w:val="auto"/>
        </w:rPr>
        <w:t>3.1.1</w:t>
        <w:tab/>
        <w:t>strictly comply with the provisions of the Exclusive Option Agreement, the Equity Pledge Agreement (including any amendments, supplements or restatements thereto,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and the Exclusive Business Cooperation Agreement (including any amendments, supplements or restatements thereto, “</w:t>
      </w:r>
      <w:r>
        <w:rPr>
          <w:rFonts w:ascii="Times New Roman" w:cs="Times New Roman" w:eastAsia="Times New Roman" w:hAnsi="Times New Roman"/>
          <w:sz w:val="18"/>
          <w:szCs w:val="18"/>
          <w:b w:val="1"/>
          <w:bCs w:val="1"/>
          <w:color w:val="auto"/>
        </w:rPr>
        <w:t>Exclusive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Cooperation Agreement</w:t>
      </w:r>
      <w:r>
        <w:rPr>
          <w:rFonts w:ascii="Times New Roman" w:cs="Times New Roman" w:eastAsia="Times New Roman" w:hAnsi="Times New Roman"/>
          <w:sz w:val="18"/>
          <w:szCs w:val="18"/>
          <w:color w:val="auto"/>
        </w:rPr>
        <w:t>”) to which Xinsi is a party, and shall not take or omit to take any action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adversely affect the validity or enforceability of the Exclusive Option Agreement, the Equity Pledge Agreement or the Exclusive Business Cooperation Agreement;</w:t>
      </w:r>
    </w:p>
    <w:p>
      <w:pPr>
        <w:spacing w:after="0" w:line="187"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3.1.2</w:t>
        <w:tab/>
        <w:t>upon the request of the Lender (or its designee), enter into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52" w:name="page453"/>
    <w:bookmarkEnd w:id="452"/>
    <w:p>
      <w:pPr>
        <w:ind w:left="1280"/>
        <w:spacing w:after="0" w:line="282" w:lineRule="auto"/>
        <w:rPr>
          <w:sz w:val="20"/>
          <w:szCs w:val="20"/>
          <w:color w:val="auto"/>
        </w:rPr>
      </w:pPr>
      <w:r>
        <w:rPr>
          <w:rFonts w:ascii="Times New Roman" w:cs="Times New Roman" w:eastAsia="Times New Roman" w:hAnsi="Times New Roman"/>
          <w:sz w:val="18"/>
          <w:szCs w:val="18"/>
          <w:color w:val="auto"/>
        </w:rPr>
        <w:t>cooperation contracts or agreements with the Lender (or its designee) at any time and ensure strict performance thereof;</w:t>
      </w:r>
    </w:p>
    <w:p>
      <w:pPr>
        <w:spacing w:after="0" w:line="162"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3.1.3</w:t>
        <w:tab/>
        <w:t>upon the request of the Lender, provide the Lender with all information relating to its operations and financial condition;</w:t>
      </w:r>
    </w:p>
    <w:p>
      <w:pPr>
        <w:spacing w:after="0" w:line="162"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3.1.4</w:t>
        <w:tab/>
        <w:t>promptly notify the Lender of any litigation, arbitration or administrative proceeding relating to the Lender that has occurred or may occur;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the term of this Agreement, the Borrower shall:</w:t>
      </w:r>
    </w:p>
    <w:p>
      <w:pPr>
        <w:spacing w:after="0" w:line="225"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3.2.1</w:t>
        <w:tab/>
        <w:t>strictly comply with all provisions of this Agreement, the Power of Attorney, the Equity Pledge Agreement and the Exclusive Option Agreement to which it is a party, faithfully perform all of its obligations thereunder, and not take or omit to take any action that may adversely affect the validity or enforceability of this Agreement, the Power of Attorney, the Equity Pledge Agreement or the Exclusive Option Agreement;</w:t>
      </w:r>
    </w:p>
    <w:p>
      <w:pPr>
        <w:spacing w:after="0" w:line="180"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3.2.2</w:t>
        <w:tab/>
        <w:t>except as provided under the Equity Pledge Agreement, not sell, transfer, mortgage or otherwise dispose of any legal or beneficial interest in the Equity Interests, nor permit any other Security Interest to be created thereon;</w:t>
      </w:r>
    </w:p>
    <w:p>
      <w:pPr>
        <w:spacing w:after="0" w:line="162"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3.2.3</w:t>
        <w:tab/>
        <w:t>procure that the shareholders’ meeting and/or the board of directors of Xinsi shall not approve, without the prior written consent of the Lender, any sale, transfer, mortgage or other disposition of any legal or beneficial interest in the Equity Interests, nor permit any Security Interest to be created thereon, except for transfers made to the Lender or any Person designated by the Lender;</w:t>
      </w:r>
    </w:p>
    <w:p>
      <w:pPr>
        <w:spacing w:after="0" w:line="180"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3.2.4</w:t>
        <w:tab/>
        <w:t>procure that the shareholders’ meeting and/or the board of directors of Xinsi shall not approve any merger or consolidation with any Person, or any acquisition of or investment in any Person, without the prior written consent of the Lender;</w:t>
      </w:r>
    </w:p>
    <w:p>
      <w:pPr>
        <w:spacing w:after="0" w:line="176"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3.2.5</w:t>
        <w:tab/>
        <w:t>promptly notify the Lender of any litigation, arbitration or administrative proceeding relating to the Equity Interests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53" w:name="page454"/>
    <w:bookmarkEnd w:id="453"/>
    <w:p>
      <w:pPr>
        <w:ind w:left="1160"/>
        <w:spacing w:after="0"/>
        <w:rPr>
          <w:sz w:val="20"/>
          <w:szCs w:val="20"/>
          <w:color w:val="auto"/>
        </w:rPr>
      </w:pPr>
      <w:r>
        <w:rPr>
          <w:rFonts w:ascii="Times New Roman" w:cs="Times New Roman" w:eastAsia="Times New Roman" w:hAnsi="Times New Roman"/>
          <w:sz w:val="18"/>
          <w:szCs w:val="18"/>
          <w:color w:val="auto"/>
        </w:rPr>
        <w:t>occurred or may occur;</w:t>
      </w:r>
    </w:p>
    <w:p>
      <w:pPr>
        <w:spacing w:after="0" w:line="225"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3.2.6</w:t>
        <w:tab/>
        <w:t>execute all necessary or appropriate documents, take all necessary or appropriate actions, file all necessary or appropriate claims, and make all necessary or appropriate defenses in order to maintain its ownership of the Equity Interests;</w:t>
      </w:r>
    </w:p>
    <w:p>
      <w:pPr>
        <w:spacing w:after="0" w:line="176" w:lineRule="exact"/>
        <w:rPr>
          <w:sz w:val="20"/>
          <w:szCs w:val="20"/>
          <w:color w:val="auto"/>
        </w:rPr>
      </w:pPr>
    </w:p>
    <w:p>
      <w:pPr>
        <w:jc w:val="both"/>
        <w:ind w:left="1160" w:right="2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3.2.7</w:t>
        <w:tab/>
        <w:t>without the prior written consent of the Lender, not take or omit to take any action that may materially affect the assets or liabilities of Xinsi;</w:t>
      </w:r>
    </w:p>
    <w:p>
      <w:pPr>
        <w:spacing w:after="0" w:line="162"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8"/>
          <w:szCs w:val="18"/>
          <w:color w:val="auto"/>
        </w:rPr>
        <w:t>3.2.8</w:t>
        <w:tab/>
        <w:t>at the request of the Lender, appoint any Person designated by the Lender as a director or supervisor of Xinsi;</w:t>
      </w:r>
    </w:p>
    <w:p>
      <w:pPr>
        <w:spacing w:after="0" w:line="225" w:lineRule="exact"/>
        <w:rPr>
          <w:sz w:val="20"/>
          <w:szCs w:val="20"/>
          <w:color w:val="auto"/>
        </w:rPr>
      </w:pPr>
    </w:p>
    <w:p>
      <w:pPr>
        <w:jc w:val="both"/>
        <w:ind w:left="1160" w:right="20" w:hanging="647"/>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3.2.9</w:t>
        <w:tab/>
        <w:t>to the extent permitted under the PRC laws, upon the request of the Lender at any time, unconditionally and immediately transfer the Equity Interests to the Lender or its designated representative, and procure that the other shareholders of Xinsi waive any right of first refusal with respect to such transfer of equity interest described in this paragraph;</w:t>
      </w:r>
    </w:p>
    <w:p>
      <w:pPr>
        <w:spacing w:after="0" w:line="180" w:lineRule="exact"/>
        <w:rPr>
          <w:sz w:val="20"/>
          <w:szCs w:val="20"/>
          <w:color w:val="auto"/>
        </w:rPr>
      </w:pPr>
    </w:p>
    <w:p>
      <w:pPr>
        <w:jc w:val="both"/>
        <w:ind w:left="1160" w:hanging="647"/>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3.2.10</w:t>
        <w:tab/>
        <w:t>to the extent permitted under the PRC laws, upon the request of the Lender at any time, procure that the other shareholders of Xinsi unconditionally and immediately transfer all of their equity interests in Xinsi to the Lender or its designated representative, and the Borrower hereby waives any right of first refusal with respect to such transfer described in this paragraph;</w:t>
      </w:r>
    </w:p>
    <w:p>
      <w:pPr>
        <w:spacing w:after="0" w:line="180"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3.2.11</w:t>
        <w:tab/>
        <w:t>if the Lender purchases the Equity Interests from the Borrower pursuant to the Exclusive Option Agreement, apply all proceeds obtained from such purchase price toward repayment of the Loan in priority;</w:t>
      </w:r>
    </w:p>
    <w:p>
      <w:pPr>
        <w:spacing w:after="0" w:line="162" w:lineRule="exact"/>
        <w:rPr>
          <w:sz w:val="20"/>
          <w:szCs w:val="20"/>
          <w:color w:val="auto"/>
        </w:rPr>
      </w:pPr>
    </w:p>
    <w:p>
      <w:pPr>
        <w:jc w:val="both"/>
        <w:ind w:left="1160" w:right="2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3.2.12</w:t>
        <w:tab/>
        <w:t>without the prior written consent of the Lender, not supplement, amend or modify its constitutional documents, increase or decrease its registered capital, or otherwise alter its capital structure; and</w:t>
      </w:r>
    </w:p>
    <w:p>
      <w:pPr>
        <w:spacing w:after="0" w:line="162"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3.2.13</w:t>
        <w:tab/>
        <w:t>duly pay in the full amount of registered capital corresponding to the Equity Interests and shall provide the Lender with valid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54" w:name="page455"/>
    <w:bookmarkEnd w:id="454"/>
    <w:p>
      <w:pPr>
        <w:ind w:left="1612"/>
        <w:spacing w:after="0"/>
        <w:rPr>
          <w:sz w:val="20"/>
          <w:szCs w:val="20"/>
          <w:color w:val="auto"/>
        </w:rPr>
      </w:pPr>
      <w:r>
        <w:rPr>
          <w:rFonts w:ascii="Times New Roman" w:cs="Times New Roman" w:eastAsia="Times New Roman" w:hAnsi="Times New Roman"/>
          <w:sz w:val="18"/>
          <w:szCs w:val="18"/>
          <w:color w:val="auto"/>
        </w:rPr>
        <w:t>contribution certificates evidencing such contribution.</w:t>
      </w:r>
    </w:p>
    <w:p>
      <w:pPr>
        <w:spacing w:after="0" w:line="221" w:lineRule="exact"/>
        <w:rPr>
          <w:sz w:val="20"/>
          <w:szCs w:val="20"/>
          <w:color w:val="auto"/>
        </w:rPr>
      </w:pPr>
    </w:p>
    <w:p>
      <w:pPr>
        <w:ind w:left="332" w:hanging="332"/>
        <w:spacing w:after="0"/>
        <w:tabs>
          <w:tab w:leader="none" w:pos="332"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4.1If the Borrower materially breaches any provision of this Agreement, the Lender shall have the right to terminate this Agreement and require the Borrower to compensate for damages. This Section 4.1 shall not prejudice any other rights of the Lender under this Agreement.</w:t>
      </w:r>
    </w:p>
    <w:p>
      <w:pPr>
        <w:spacing w:after="0" w:line="175"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4.2Except as otherwise required by applicable laws, the Borrower shall not have any right to terminate or rescind this Agreement under any circumstances.</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4.3If the Borrower fails to perform its repayment obligations within the period specified in this Agreement, the Borrower shall pay overdue interest at a rate of 0.05% per day on the overdue amount until the Borrower has fully repaid the Loan principal, overdue interest and all other amounts payable.</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left="972" w:right="20"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5.1.1</w:t>
        <w:tab/>
        <w:t>If delivered by hand, courier service or registered mail (postage prepaid), the date of dispatch shall be deemed the effective delivery date;</w:t>
      </w:r>
    </w:p>
    <w:p>
      <w:pPr>
        <w:spacing w:after="0" w:line="162" w:lineRule="exact"/>
        <w:rPr>
          <w:sz w:val="20"/>
          <w:szCs w:val="20"/>
          <w:color w:val="auto"/>
        </w:rPr>
      </w:pPr>
    </w:p>
    <w:p>
      <w:pPr>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5.1.2</w:t>
        <w:tab/>
        <w:t>If delivered by facsimile, the date of successful transmission (as evidenced by the automatically generated transmission confirmation) shall be deemed the effective delivery date.</w:t>
      </w:r>
    </w:p>
    <w:p>
      <w:pPr>
        <w:spacing w:after="0" w:line="158" w:lineRule="exact"/>
        <w:rPr>
          <w:sz w:val="20"/>
          <w:szCs w:val="20"/>
          <w:color w:val="auto"/>
        </w:rPr>
      </w:pPr>
    </w:p>
    <w:p>
      <w:pPr>
        <w:ind w:left="332" w:hanging="332"/>
        <w:spacing w:after="0"/>
        <w:tabs>
          <w:tab w:leader="none" w:pos="332"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55" w:name="page456"/>
    <w:bookmarkEnd w:id="455"/>
    <w:p>
      <w:pPr>
        <w:jc w:val="both"/>
        <w:ind w:left="332"/>
        <w:spacing w:after="0" w:line="254" w:lineRule="auto"/>
        <w:rPr>
          <w:sz w:val="20"/>
          <w:szCs w:val="20"/>
          <w:color w:val="auto"/>
        </w:rPr>
      </w:pPr>
      <w:r>
        <w:rPr>
          <w:rFonts w:ascii="Times New Roman" w:cs="Times New Roman" w:eastAsia="Times New Roman" w:hAnsi="Times New Roman"/>
          <w:sz w:val="18"/>
          <w:szCs w:val="18"/>
          <w:color w:val="auto"/>
        </w:rPr>
        <w:t>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88" w:lineRule="exact"/>
        <w:rPr>
          <w:sz w:val="20"/>
          <w:szCs w:val="20"/>
          <w:color w:val="auto"/>
        </w:rPr>
      </w:pPr>
    </w:p>
    <w:p>
      <w:pPr>
        <w:ind w:left="332" w:hanging="332"/>
        <w:spacing w:after="0"/>
        <w:tabs>
          <w:tab w:leader="none" w:pos="332"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7.1The execution, validity, interpretation, performance, amendment and termination of this Agreement and the resolution of any disputes hereunder shall be governed by the the PRC laws.</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7.2Any dispute arising from the interpretation or performance of this Agreement shall first be resolved through friendly consultation between the Parties. If the dispute cannot be resolved within thirty (30) days after one Party delivers a written notice requesting consultation, any Party may submit such dispute to the court of competent jurisdiction at the place of domicile of the plaintiff for litigation.</w:t>
      </w:r>
    </w:p>
    <w:p>
      <w:pPr>
        <w:spacing w:after="0" w:line="179" w:lineRule="exact"/>
        <w:rPr>
          <w:rFonts w:ascii="Times New Roman" w:cs="Times New Roman" w:eastAsia="Times New Roman" w:hAnsi="Times New Roman"/>
          <w:sz w:val="18"/>
          <w:szCs w:val="18"/>
          <w:b w:val="1"/>
          <w:bCs w:val="1"/>
          <w:color w:val="auto"/>
        </w:rPr>
      </w:pPr>
    </w:p>
    <w:p>
      <w:pPr>
        <w:ind w:left="97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8.1This Agreement shall become effective upon execution by the Parties and shall terminate upon full performance by the Parties of their respective obligations hereunder.</w:t>
      </w:r>
    </w:p>
    <w:p>
      <w:pPr>
        <w:spacing w:after="0" w:line="16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8.2This Agreement is executed in two (2) originals, one held by the Lender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56" w:name="page457"/>
    <w:bookmarkEnd w:id="456"/>
    <w:p>
      <w:pPr>
        <w:ind w:left="640"/>
        <w:spacing w:after="0"/>
        <w:rPr>
          <w:sz w:val="20"/>
          <w:szCs w:val="20"/>
          <w:color w:val="auto"/>
        </w:rPr>
      </w:pPr>
      <w:r>
        <w:rPr>
          <w:rFonts w:ascii="Times New Roman" w:cs="Times New Roman" w:eastAsia="Times New Roman" w:hAnsi="Times New Roman"/>
          <w:sz w:val="18"/>
          <w:szCs w:val="18"/>
          <w:color w:val="auto"/>
        </w:rPr>
        <w:t>one held by the Borrower, and both originals shall have equal legal effect.</w:t>
      </w:r>
    </w:p>
    <w:p>
      <w:pPr>
        <w:spacing w:after="0" w:line="225"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Any amendment or supplement to this Agreement shall be made in writing and signed by the Parties. Any amendment agreement and/or supplemental agreement relating to this Agreement shall form an integral part hereof and shall have the same legal effect as this Agreement.</w:t>
      </w:r>
    </w:p>
    <w:p>
      <w:pPr>
        <w:spacing w:after="0" w:line="176"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Any annexes (if any) to this Agreement shall form an integral part hereof and shall have the same legal effect as this Agreement.</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Any obligations incurred or accrued under this Agreement prior to expiration or early termination shall survive such expiration or termination. The provisions of Sections 4, 6, 7 and this Section 8.6 shall survive the termination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57" w:name="page458"/>
    <w:bookmarkEnd w:id="457"/>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Loan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58" w:name="page459"/>
    <w:bookmarkEnd w:id="458"/>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Loan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Xiaosong</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Li Xiaosong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59" w:name="page460"/>
    <w:bookmarkEnd w:id="459"/>
    <w:p>
      <w:pPr>
        <w:jc w:val="right"/>
        <w:spacing w:after="0"/>
        <w:rPr>
          <w:sz w:val="20"/>
          <w:szCs w:val="20"/>
          <w:color w:val="auto"/>
        </w:rPr>
      </w:pPr>
      <w:r>
        <w:rPr>
          <w:rFonts w:ascii="Times New Roman" w:cs="Times New Roman" w:eastAsia="Times New Roman" w:hAnsi="Times New Roman"/>
          <w:sz w:val="18"/>
          <w:szCs w:val="18"/>
          <w:b w:val="1"/>
          <w:bCs w:val="1"/>
          <w:color w:val="auto"/>
        </w:rPr>
        <w:t>Exhibit 4.36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This Loan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on </w:t>
      </w:r>
      <w:r>
        <w:rPr>
          <w:rFonts w:ascii="Times New Roman" w:cs="Times New Roman" w:eastAsia="Times New Roman" w:hAnsi="Times New Roman"/>
          <w:sz w:val="18"/>
          <w:szCs w:val="18"/>
          <w:u w:val="single" w:color="auto"/>
          <w:color w:val="auto"/>
        </w:rPr>
        <w:t>Feburary 20, 2025</w:t>
      </w:r>
      <w:r>
        <w:rPr>
          <w:rFonts w:ascii="Times New Roman" w:cs="Times New Roman" w:eastAsia="Times New Roman" w:hAnsi="Times New Roman"/>
          <w:sz w:val="18"/>
          <w:szCs w:val="18"/>
          <w:color w:val="auto"/>
        </w:rPr>
        <w:t xml:space="preserve">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between the following parties:</w:t>
      </w:r>
    </w:p>
    <w:p>
      <w:pPr>
        <w:spacing w:after="0" w:line="155" w:lineRule="exact"/>
        <w:rPr>
          <w:sz w:val="20"/>
          <w:szCs w:val="20"/>
          <w:color w:val="auto"/>
        </w:rPr>
      </w:pPr>
    </w:p>
    <w:p>
      <w:pPr>
        <w:jc w:val="both"/>
        <w:ind w:left="660" w:hanging="652"/>
        <w:spacing w:after="0" w:line="268" w:lineRule="auto"/>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Xunlei Computer (Shenzhen)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 sino-foreign equity joint venture duly established and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PRC laws, with its address at Room 1606A, Building 7, Qianhai Excellence Financial Center (Phase I), Unit 2, Guiwan Area, Nanshan Subdistrict, Qianhai Shenzhen-Hong Kong Cooperation Zone, Shenzhen;</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4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Wu Kening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w:t>
      </w:r>
      <w:r>
        <w:rPr>
          <w:rFonts w:ascii="Times New Roman" w:cs="Times New Roman" w:eastAsia="Times New Roman" w:hAnsi="Times New Roman"/>
          <w:sz w:val="18"/>
          <w:szCs w:val="18"/>
          <w:color w:val="auto"/>
        </w:rPr>
        <w:t>r”), a PRC citizen, ID No. ******************, residing at [Room 2-2-501, Fenggang Garden, No.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Jinhu Road, Luohu District, Shenzhen];</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and the Borrower are hereinafter referred to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Borrower holds [95]% of the partnership interest in Shenzhen Zhiyi Wensi Consulting Partnership (Limited Partnership)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representing registered capital of RMB 95,000 in Suqu. All capital contribution interests currently and to be held in the future by the Borrower in the Partnership shall be collectively referred to as the “</w:t>
      </w:r>
      <w:r>
        <w:rPr>
          <w:rFonts w:ascii="Times New Roman" w:cs="Times New Roman" w:eastAsia="Times New Roman" w:hAnsi="Times New Roman"/>
          <w:sz w:val="18"/>
          <w:szCs w:val="18"/>
          <w:b w:val="1"/>
          <w:bCs w:val="1"/>
          <w:color w:val="auto"/>
        </w:rPr>
        <w:t>Partnership Interests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the Borrower and the Partnership entered into an Exclusive Option Agreement on [Feburary 20], 2025 (including any amendments, supplements or restatements thereto,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pursuant to which the Lender has the right to purchase from the Borrower, at any time and from time to time, the Partnership Interests in the Partnership held by the Borrower.</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it agrees to provide to the Borrower, and the Borrower confirms that it has received, a loan in the amount of RMB [95,000] for the purposes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0" w:name="page461"/>
    <w:bookmarkEnd w:id="460"/>
    <w:p>
      <w:pPr>
        <w:ind w:left="332"/>
        <w:spacing w:after="0"/>
        <w:rPr>
          <w:sz w:val="20"/>
          <w:szCs w:val="20"/>
          <w:color w:val="auto"/>
        </w:rPr>
      </w:pPr>
      <w:r>
        <w:rPr>
          <w:rFonts w:ascii="Times New Roman" w:cs="Times New Roman" w:eastAsia="Times New Roman" w:hAnsi="Times New Roman"/>
          <w:sz w:val="18"/>
          <w:szCs w:val="18"/>
          <w:color w:val="auto"/>
        </w:rPr>
        <w:t>NOW, THEREFORE, through friendly consultation, the Parties hereby agree as follows:</w:t>
      </w:r>
    </w:p>
    <w:p>
      <w:pPr>
        <w:spacing w:after="0" w:line="221" w:lineRule="exact"/>
        <w:rPr>
          <w:sz w:val="20"/>
          <w:szCs w:val="20"/>
          <w:color w:val="auto"/>
        </w:rPr>
      </w:pPr>
    </w:p>
    <w:p>
      <w:pPr>
        <w:ind w:left="332" w:hanging="332"/>
        <w:spacing w:after="0"/>
        <w:tabs>
          <w:tab w:leader="none" w:pos="332"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1.1.Subject to the terms of this Agreement, the Lender and the Borrower hereby confirm that the Borrower has obtained from the Lender a loan in the amount of RMB [95,000]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Upon expiration of the Loan term, the Loan term shall automatically be extended for successive ten (10)-year periods unless the Lender raises any objection prior to such expiration. The Lender shall have the right, at its sole discretion and based on actual circumstances, to unilaterally extend or shorten the Loan term. During the Loan term or any extended Loan term, upon the occurrence of any of the following events, the Borrower shall immediately prepay the Loan in full, unless otherwise waived by the Lender:</w:t>
      </w:r>
    </w:p>
    <w:p>
      <w:pPr>
        <w:spacing w:after="0" w:line="187"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1.1.1.</w:t>
        <w:tab/>
        <w:t>Thirty (30) days have elapsed after the Borrower receives a written notice from the Lender requiring repayment;</w:t>
      </w:r>
    </w:p>
    <w:p>
      <w:pPr>
        <w:spacing w:after="0" w:line="225" w:lineRule="exact"/>
        <w:rPr>
          <w:sz w:val="20"/>
          <w:szCs w:val="20"/>
          <w:color w:val="auto"/>
        </w:rPr>
      </w:pPr>
    </w:p>
    <w:p>
      <w:pPr>
        <w:jc w:val="both"/>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1.1.2.</w:t>
        <w:tab/>
        <w:t>For any reason whatsoever, the actual controller of the Borrower no longer holds any position with the Lender, the Partnership or any of their Affiliates;</w:t>
      </w:r>
    </w:p>
    <w:p>
      <w:pPr>
        <w:spacing w:after="0" w:line="162"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The Borrower engages in criminal conduct or becomes involved in criminal activities;</w:t>
      </w:r>
    </w:p>
    <w:p>
      <w:pPr>
        <w:spacing w:after="0" w:line="225" w:lineRule="exact"/>
        <w:rPr>
          <w:sz w:val="20"/>
          <w:szCs w:val="20"/>
          <w:color w:val="auto"/>
        </w:rPr>
      </w:pPr>
    </w:p>
    <w:p>
      <w:pPr>
        <w:jc w:val="both"/>
        <w:ind w:left="1612" w:right="20" w:hanging="647"/>
        <w:spacing w:after="0" w:line="258" w:lineRule="auto"/>
        <w:tabs>
          <w:tab w:leader="none" w:pos="1591" w:val="left"/>
        </w:tabs>
        <w:rPr>
          <w:sz w:val="20"/>
          <w:szCs w:val="20"/>
          <w:color w:val="auto"/>
        </w:rPr>
      </w:pPr>
      <w:r>
        <w:rPr>
          <w:rFonts w:ascii="Times New Roman" w:cs="Times New Roman" w:eastAsia="Times New Roman" w:hAnsi="Times New Roman"/>
          <w:sz w:val="18"/>
          <w:szCs w:val="18"/>
          <w:color w:val="auto"/>
        </w:rPr>
        <w:t>1.1.4.</w:t>
        <w:tab/>
        <w:t>Pursuant to applicable PRC laws, foreign investors are permitted to hold a controlling interest in and/or wholly own the principal business currently conducted in the PRC by Shenzhen Suqu Network Technology Co., Ltd., a company in which the Partnership holds equity interests, the competent PRC authorities commence approval of such business, and the Lender determines to exercise its exclusive purchase right under the Exclusive Option Agreement.</w:t>
      </w:r>
    </w:p>
    <w:p>
      <w:pPr>
        <w:spacing w:after="0" w:line="183" w:lineRule="exact"/>
        <w:rPr>
          <w:sz w:val="20"/>
          <w:szCs w:val="20"/>
          <w:color w:val="auto"/>
        </w:rPr>
      </w:pPr>
    </w:p>
    <w:p>
      <w:pPr>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Loan provided by the Lender under this Agreement shall be applicable solely to the Borrower and shall not apply to any successor or assignee of the Borrower.</w:t>
      </w:r>
    </w:p>
    <w:p>
      <w:pPr>
        <w:spacing w:after="0" w:line="162"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Borrower agrees to accept the Loan provided by the Lender and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61" w:name="page462"/>
    <w:bookmarkEnd w:id="461"/>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agrees and undertakes that the Loan shall be used solely for the purpose of paying the transfer consideration for the Borrower’s acquisition of the Partnership Interests in the Partnership or for capital increase in the Partnership. Without the prior written consent of the Lender, the Borrower shall not use the Loan for any other purpose.</w:t>
      </w:r>
    </w:p>
    <w:p>
      <w:pPr>
        <w:spacing w:after="0" w:line="176"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Lender and the Borrower hereby agree and confirm that the repayment method of the Borrower shall be determined solely by the Lender from the following methods: pursuant to the Lender’s right to purchase the Partnership Interests under the Exclusive Option Agreement, the Borrower shall transfer all of the Partnership Interests held by it to the Lender or any Person designated by the Lender, and any proceeds obtained by the Borrower from such transfer of the Partnership Interests (to the permitted extent) shall be used to repay the Loan owed by the Borrower to the Lender, all of which shall be paid to the Lender in the manner designated by the Lender.</w:t>
      </w:r>
    </w:p>
    <w:p>
      <w:pPr>
        <w:spacing w:after="0" w:line="187"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Lender and the Borrower hereby agree and confirm that, to the extent permitted under applicable laws, the Lender shall have the right, but not the obligation, at any time to purchase or designate any other Person (whether a legal entity or natural person) to purchase all or part of the Partnership Interests at the purchase price specified in the Exclusive Option Agreement.</w:t>
      </w:r>
    </w:p>
    <w:p>
      <w:pPr>
        <w:spacing w:after="0" w:line="180"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 xml:space="preserve">The Borrower undertakes to execute an irrevocable Power of Attorney (including any amendments, supplements or restatements thereto,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pursuant to which all partner rights of the Borrower in the Partnership shall be entrusted to the Lender or any legal entity or natural person designated by the Lender for exercise.</w:t>
      </w:r>
    </w:p>
    <w:p>
      <w:pPr>
        <w:spacing w:after="0" w:line="176"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Unless otherwise agreed in this Agreement, the Loan shall be interest-free.</w:t>
      </w:r>
    </w:p>
    <w:p>
      <w:pPr>
        <w:spacing w:after="0" w:line="221" w:lineRule="exact"/>
        <w:rPr>
          <w:sz w:val="20"/>
          <w:szCs w:val="20"/>
          <w:color w:val="auto"/>
        </w:rPr>
      </w:pPr>
    </w:p>
    <w:p>
      <w:pPr>
        <w:ind w:left="340" w:hanging="332"/>
        <w:spacing w:after="0"/>
        <w:tabs>
          <w:tab w:leader="none" w:pos="34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2.1From the date of execution of this Agreement until the termination hereof, the Lender hereby represents and warrants to the Borrower as follows:</w:t>
      </w:r>
    </w:p>
    <w:p>
      <w:pPr>
        <w:spacing w:after="0" w:line="162"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The Lender is a company duly incorporated and validly existing under the PRC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2" w:name="page463"/>
    <w:bookmarkEnd w:id="462"/>
    <w:p>
      <w:pPr>
        <w:jc w:val="both"/>
        <w:ind w:left="1612"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2.1.2</w:t>
        <w:tab/>
        <w:t>The Lender has full power and authority to execute and perform this Agreement. The execution and performance of this Agreement are within the Lender’s business scope and are not inconsistent with its articles of association or other organizational documents, and the Lender has obtained all necessary and appropriate approvals and authorizations for the execution and performance of this Agreement; and</w:t>
      </w:r>
    </w:p>
    <w:p>
      <w:pPr>
        <w:spacing w:after="0" w:line="180" w:lineRule="exact"/>
        <w:rPr>
          <w:sz w:val="20"/>
          <w:szCs w:val="20"/>
          <w:color w:val="auto"/>
        </w:rPr>
      </w:pPr>
    </w:p>
    <w:p>
      <w:pPr>
        <w:jc w:val="both"/>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2.1.3</w:t>
        <w:tab/>
        <w:t>Upon execution, this Agreement constitutes legal, valid and binding obligations of the Lender, enforceable against the Lender in accordance with its terms.</w:t>
      </w:r>
    </w:p>
    <w:p>
      <w:pPr>
        <w:spacing w:after="0" w:line="162" w:lineRule="exact"/>
        <w:rPr>
          <w:sz w:val="20"/>
          <w:szCs w:val="20"/>
          <w:color w:val="auto"/>
        </w:rPr>
      </w:pPr>
    </w:p>
    <w:p>
      <w:pPr>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From the date of execution of this Agreement until the termination hereof, the Borrower hereby represents and warrants as follows:</w:t>
      </w:r>
    </w:p>
    <w:p>
      <w:pPr>
        <w:spacing w:after="0" w:line="162" w:lineRule="exact"/>
        <w:rPr>
          <w:sz w:val="20"/>
          <w:szCs w:val="20"/>
          <w:color w:val="auto"/>
        </w:rPr>
      </w:pPr>
    </w:p>
    <w:p>
      <w:pPr>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2.2.1</w:t>
        <w:tab/>
        <w:t>The Borrower is a natural person with full civil capacity and has the legal authority to execute and perform this Agreement;</w:t>
      </w:r>
    </w:p>
    <w:p>
      <w:pPr>
        <w:spacing w:after="0" w:line="162" w:lineRule="exact"/>
        <w:rPr>
          <w:sz w:val="20"/>
          <w:szCs w:val="20"/>
          <w:color w:val="auto"/>
        </w:rPr>
      </w:pPr>
    </w:p>
    <w:p>
      <w:pPr>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2.2.2</w:t>
        <w:tab/>
        <w:t>Upon execution, this Agreement constitutes legal, valid and binding obligations of the Borrower, enforceable against the Borrower in accordance with its terms; and</w:t>
      </w:r>
    </w:p>
    <w:p>
      <w:pPr>
        <w:spacing w:after="0" w:line="162" w:lineRule="exact"/>
        <w:rPr>
          <w:sz w:val="20"/>
          <w:szCs w:val="20"/>
          <w:color w:val="auto"/>
        </w:rPr>
      </w:pPr>
    </w:p>
    <w:p>
      <w:pPr>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2.2.3</w:t>
        <w:tab/>
        <w:t>There are no disputes, litigation, arbitration, administrative proceedings or any other legal proceedings pending or, to the Borrower’s knowledge, threatened against the Borrower.</w:t>
      </w:r>
    </w:p>
    <w:p>
      <w:pPr>
        <w:spacing w:after="0" w:line="158" w:lineRule="exact"/>
        <w:rPr>
          <w:sz w:val="20"/>
          <w:szCs w:val="20"/>
          <w:color w:val="auto"/>
        </w:rPr>
      </w:pPr>
    </w:p>
    <w:p>
      <w:pPr>
        <w:ind w:left="332" w:hanging="332"/>
        <w:spacing w:after="0"/>
        <w:tabs>
          <w:tab w:leader="none" w:pos="332"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of the Borrower</w:t>
      </w:r>
    </w:p>
    <w:p>
      <w:pPr>
        <w:spacing w:after="0" w:line="229"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Borrower, in its capacity as a partner of the Partnership, hereby irrevocably undertakes that during the term of this</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Agreement it shall procure that the Partnership shall:</w:t>
      </w:r>
    </w:p>
    <w:p>
      <w:pPr>
        <w:spacing w:after="0" w:line="207" w:lineRule="exact"/>
        <w:rPr>
          <w:sz w:val="20"/>
          <w:szCs w:val="20"/>
          <w:color w:val="auto"/>
        </w:rPr>
      </w:pPr>
    </w:p>
    <w:p>
      <w:pPr>
        <w:jc w:val="both"/>
        <w:ind w:left="1612"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3.1.1</w:t>
        <w:tab/>
        <w:t>strictly comply with the provisions of the Exclusive Option Agreement, the Partnership Interest Pledge Agreement (including any amendments, supplements or restatements thereto, “</w:t>
      </w:r>
      <w:r>
        <w:rPr>
          <w:rFonts w:ascii="Times New Roman" w:cs="Times New Roman" w:eastAsia="Times New Roman" w:hAnsi="Times New Roman"/>
          <w:sz w:val="18"/>
          <w:szCs w:val="18"/>
          <w:b w:val="1"/>
          <w:bCs w:val="1"/>
          <w:color w:val="auto"/>
        </w:rPr>
        <w:t>Partnership Interest Pledge Agreement</w:t>
      </w:r>
      <w:r>
        <w:rPr>
          <w:rFonts w:ascii="Times New Roman" w:cs="Times New Roman" w:eastAsia="Times New Roman" w:hAnsi="Times New Roman"/>
          <w:sz w:val="18"/>
          <w:szCs w:val="18"/>
          <w:color w:val="auto"/>
        </w:rPr>
        <w:t>”) and the Exclusive Business Cooperation Agreement (including any amendments, supplements or restatements thereto, “</w:t>
      </w:r>
      <w:r>
        <w:rPr>
          <w:rFonts w:ascii="Times New Roman" w:cs="Times New Roman" w:eastAsia="Times New Roman" w:hAnsi="Times New Roman"/>
          <w:sz w:val="18"/>
          <w:szCs w:val="18"/>
          <w:b w:val="1"/>
          <w:bCs w:val="1"/>
          <w:color w:val="auto"/>
        </w:rPr>
        <w:t>Exclusive Business Cooperation Agreement</w:t>
      </w:r>
      <w:r>
        <w:rPr>
          <w:rFonts w:ascii="Times New Roman" w:cs="Times New Roman" w:eastAsia="Times New Roman" w:hAnsi="Times New Roman"/>
          <w:sz w:val="18"/>
          <w:szCs w:val="18"/>
          <w:color w:val="auto"/>
        </w:rPr>
        <w:t>”) to which the Partnership is a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63" w:name="page464"/>
    <w:bookmarkEnd w:id="463"/>
    <w:p>
      <w:pPr>
        <w:ind w:left="1280"/>
        <w:spacing w:after="0" w:line="282" w:lineRule="auto"/>
        <w:rPr>
          <w:sz w:val="20"/>
          <w:szCs w:val="20"/>
          <w:color w:val="auto"/>
        </w:rPr>
      </w:pPr>
      <w:r>
        <w:rPr>
          <w:rFonts w:ascii="Times New Roman" w:cs="Times New Roman" w:eastAsia="Times New Roman" w:hAnsi="Times New Roman"/>
          <w:sz w:val="18"/>
          <w:szCs w:val="18"/>
          <w:color w:val="auto"/>
        </w:rPr>
        <w:t>shall not take or omit to take any action that may adversely affect the validity or enforceability of the Exclusive Option Agreement, the Partnership Interest Pledge Agreement or the Exclusive Business Cooperation Agreement;</w:t>
      </w:r>
    </w:p>
    <w:p>
      <w:pPr>
        <w:spacing w:after="0" w:line="162"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3.1.2</w:t>
        <w:tab/>
        <w:t>upon the request of the Lender (or its designee), enter into business cooperation contracts or agreements with the Lender (or its designee) at any time and ensure strict performance thereof;</w:t>
      </w:r>
    </w:p>
    <w:p>
      <w:pPr>
        <w:spacing w:after="0" w:line="162"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3.1.3</w:t>
        <w:tab/>
        <w:t>upon the request of the Lender, provide the Lender with all information relating to its operations and financial condition;</w:t>
      </w:r>
    </w:p>
    <w:p>
      <w:pPr>
        <w:spacing w:after="0" w:line="162"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3.1.4</w:t>
        <w:tab/>
        <w:t>promptly notify the Lender of any litigation, arbitration or administrative proceeding relating to the Lender that has occurred or may occur;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the term of this Agreement, the Borrower shall:</w:t>
      </w:r>
    </w:p>
    <w:p>
      <w:pPr>
        <w:spacing w:after="0" w:line="225"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3.2.1</w:t>
        <w:tab/>
        <w:t>strictly comply with all provisions of this Agreement, the Power of Attorney, the Partnership Interest Pledge Agreement and the Exclusive Option Agreement to which it is a party, faithfully perform all of its obligations thereunder, and not take or omit to take any action that may adversely affect the validity or enforceability of this Agreement, the Power of Attorney, the Partnership Interest Pledge Agreement or the Exclusive Option Agreement;</w:t>
      </w:r>
    </w:p>
    <w:p>
      <w:pPr>
        <w:spacing w:after="0" w:line="180"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3.2.2</w:t>
        <w:tab/>
        <w:t>except as provided under the Partnership Interest Pledge Agreement, not sell, transfer, mortgage or otherwise dispose of any legal or beneficial interest in the Partnership Interests, nor permit any other Security Interest to be created thereon;</w:t>
      </w:r>
    </w:p>
    <w:p>
      <w:pPr>
        <w:spacing w:after="0" w:line="176"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3.2.3</w:t>
        <w:tab/>
        <w:t>promptly notify the Lender of any litigation, arbitration or administrative proceeding relating to the Partnership Interests that has occurred or may occur;</w:t>
      </w:r>
    </w:p>
    <w:p>
      <w:pPr>
        <w:spacing w:after="0" w:line="162"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3.2.4</w:t>
        <w:tab/>
        <w:t>execute all necessary or appropriate documents, take all necessary or appropriate actions, file all necessary or appropriate claims, and make all necessary or appropriate defenses in order to maintain its ownership of the Partnership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64" w:name="page465"/>
    <w:bookmarkEnd w:id="464"/>
    <w:p>
      <w:pPr>
        <w:jc w:val="both"/>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3.2.5</w:t>
        <w:tab/>
        <w:t>without the prior written consent of the Lender, not take or omit to take any action that may materially affect the assets, business or liabilities of the Partnership;</w:t>
      </w:r>
    </w:p>
    <w:p>
      <w:pPr>
        <w:spacing w:after="0" w:line="162" w:lineRule="exact"/>
        <w:rPr>
          <w:sz w:val="20"/>
          <w:szCs w:val="20"/>
          <w:color w:val="auto"/>
        </w:rPr>
      </w:pPr>
    </w:p>
    <w:p>
      <w:pPr>
        <w:jc w:val="both"/>
        <w:ind w:left="1612"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3.2.6</w:t>
        <w:tab/>
        <w:t>to the extent permitted under the PRC laws, upon the request of the Lender at any time, unconditionally and immediately transfer the Partnership Interests to the Lender or its designated representative, and procure that the other partners of the Partnership waive any right of first refusal with respect to such transfer of the Partnership Interests described in this paragraph;</w:t>
      </w:r>
    </w:p>
    <w:p>
      <w:pPr>
        <w:spacing w:after="0" w:line="180" w:lineRule="exact"/>
        <w:rPr>
          <w:sz w:val="20"/>
          <w:szCs w:val="20"/>
          <w:color w:val="auto"/>
        </w:rPr>
      </w:pPr>
    </w:p>
    <w:p>
      <w:pPr>
        <w:jc w:val="both"/>
        <w:ind w:left="1612" w:hanging="647"/>
        <w:spacing w:after="0" w:line="261" w:lineRule="auto"/>
        <w:tabs>
          <w:tab w:leader="none" w:pos="1591" w:val="left"/>
        </w:tabs>
        <w:rPr>
          <w:sz w:val="20"/>
          <w:szCs w:val="20"/>
          <w:color w:val="auto"/>
        </w:rPr>
      </w:pPr>
      <w:r>
        <w:rPr>
          <w:rFonts w:ascii="Times New Roman" w:cs="Times New Roman" w:eastAsia="Times New Roman" w:hAnsi="Times New Roman"/>
          <w:sz w:val="18"/>
          <w:szCs w:val="18"/>
          <w:color w:val="auto"/>
        </w:rPr>
        <w:t>3.2.7</w:t>
        <w:tab/>
        <w:t>to the extent permitted under the PRC laws, upon the request of the Lender at any time, procure that the other partners of the Partnership transfer all of their Partnership Interests in the Partnership to the Lender or its designated representative, and the Borrower hereby waives any right of first refusal with respect to such transfer of the Partnership Interests described in this paragraph;</w:t>
      </w:r>
    </w:p>
    <w:p>
      <w:pPr>
        <w:spacing w:after="0" w:line="180" w:lineRule="exact"/>
        <w:rPr>
          <w:sz w:val="20"/>
          <w:szCs w:val="20"/>
          <w:color w:val="auto"/>
        </w:rPr>
      </w:pPr>
    </w:p>
    <w:p>
      <w:pPr>
        <w:jc w:val="both"/>
        <w:ind w:left="1612"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3.2.8</w:t>
        <w:tab/>
        <w:t>if the Lender purchases the Partnership Interests from the Borrower pursuant to the Exclusive Option Agreement, apply all proceeds obtained from such purchase price toward repayment of the Loan in priority;</w:t>
      </w:r>
    </w:p>
    <w:p>
      <w:pPr>
        <w:spacing w:after="0" w:line="162" w:lineRule="exact"/>
        <w:rPr>
          <w:sz w:val="20"/>
          <w:szCs w:val="20"/>
          <w:color w:val="auto"/>
        </w:rPr>
      </w:pPr>
    </w:p>
    <w:p>
      <w:pPr>
        <w:jc w:val="both"/>
        <w:ind w:left="1612" w:hanging="647"/>
        <w:spacing w:after="0" w:line="266" w:lineRule="auto"/>
        <w:tabs>
          <w:tab w:leader="none" w:pos="1591" w:val="left"/>
        </w:tabs>
        <w:rPr>
          <w:sz w:val="20"/>
          <w:szCs w:val="20"/>
          <w:color w:val="auto"/>
        </w:rPr>
      </w:pPr>
      <w:r>
        <w:rPr>
          <w:rFonts w:ascii="Times New Roman" w:cs="Times New Roman" w:eastAsia="Times New Roman" w:hAnsi="Times New Roman"/>
          <w:sz w:val="18"/>
          <w:szCs w:val="18"/>
          <w:color w:val="auto"/>
        </w:rPr>
        <w:t>3.2.9</w:t>
        <w:tab/>
        <w:t>without the prior written consent of the Lender, not, in any manner, supplement, amend or modify the partnership agreement of the Partnership, increase or decrease its registered capital contribution, or otherwise alter its capital contribution structure in any form; and</w:t>
      </w:r>
    </w:p>
    <w:p>
      <w:pPr>
        <w:spacing w:after="0" w:line="176" w:lineRule="exact"/>
        <w:rPr>
          <w:sz w:val="20"/>
          <w:szCs w:val="20"/>
          <w:color w:val="auto"/>
        </w:rPr>
      </w:pPr>
    </w:p>
    <w:p>
      <w:pPr>
        <w:jc w:val="both"/>
        <w:ind w:left="1612" w:right="20" w:hanging="647"/>
        <w:spacing w:after="0" w:line="282" w:lineRule="auto"/>
        <w:tabs>
          <w:tab w:leader="none" w:pos="1591" w:val="left"/>
        </w:tabs>
        <w:rPr>
          <w:sz w:val="20"/>
          <w:szCs w:val="20"/>
          <w:color w:val="auto"/>
        </w:rPr>
      </w:pPr>
      <w:r>
        <w:rPr>
          <w:rFonts w:ascii="Times New Roman" w:cs="Times New Roman" w:eastAsia="Times New Roman" w:hAnsi="Times New Roman"/>
          <w:sz w:val="18"/>
          <w:szCs w:val="18"/>
          <w:color w:val="auto"/>
        </w:rPr>
        <w:t>3.2.10</w:t>
        <w:tab/>
        <w:t>duly pay in the full amount of registered capital corresponding to the Partnership Interests and shall provide the Lender with valid capital contribution certificates evidencing such contribution.</w:t>
      </w:r>
    </w:p>
    <w:p>
      <w:pPr>
        <w:spacing w:after="0" w:line="158" w:lineRule="exact"/>
        <w:rPr>
          <w:sz w:val="20"/>
          <w:szCs w:val="20"/>
          <w:color w:val="auto"/>
        </w:rPr>
      </w:pPr>
    </w:p>
    <w:p>
      <w:pPr>
        <w:ind w:left="332" w:hanging="332"/>
        <w:spacing w:after="0"/>
        <w:tabs>
          <w:tab w:leader="none" w:pos="332"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4.1If the Borrower materially breaches any provision of this Agreement, the Lender shall have the right to terminate this Agreement and require the Borrower to compensate for damages. This Section 4.1 shall not prejudice any other rights of the Lender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65" w:name="page466"/>
    <w:bookmarkEnd w:id="465"/>
    <w:p>
      <w:pPr>
        <w:jc w:val="both"/>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Except as otherwise required by applicable laws, the Borrower shall not have any right to terminate or rescind this Agreement under any circumstances.</w:t>
      </w:r>
    </w:p>
    <w:p>
      <w:pPr>
        <w:spacing w:after="0" w:line="162"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If the Borrower fails to perform its repayment obligations within the period specified in this Agreement, the Borrower shall pay overdue interest at a rate of 0.05% per day on the overdue amount until the Borrower has fully repaid the Loan principal, overdue interest and all other amounts payable.</w:t>
      </w:r>
    </w:p>
    <w:p>
      <w:pPr>
        <w:spacing w:after="0" w:line="172" w:lineRule="exact"/>
        <w:rPr>
          <w:sz w:val="20"/>
          <w:szCs w:val="20"/>
          <w:color w:val="auto"/>
        </w:rPr>
      </w:pPr>
    </w:p>
    <w:p>
      <w:pPr>
        <w:ind w:left="340" w:hanging="332"/>
        <w:spacing w:after="0"/>
        <w:tabs>
          <w:tab w:leader="none" w:pos="34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98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620" w:right="20" w:hanging="647"/>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5.1.1</w:t>
        <w:tab/>
        <w:t>If delivered by hand, courier service or registered mail (postage prepaid), the date of dispatch shall be deemed the effective delivery date;</w:t>
      </w:r>
    </w:p>
    <w:p>
      <w:pPr>
        <w:spacing w:after="0" w:line="162" w:lineRule="exact"/>
        <w:rPr>
          <w:sz w:val="20"/>
          <w:szCs w:val="20"/>
          <w:color w:val="auto"/>
        </w:rPr>
      </w:pPr>
    </w:p>
    <w:p>
      <w:pPr>
        <w:ind w:left="1620" w:hanging="647"/>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5.1.2</w:t>
        <w:tab/>
        <w:t>If delivered by facsimile, the date of successful transmission (as evidenced by the automatically generated transmission confirmation) shall be deemed the effective delivery date.</w:t>
      </w:r>
    </w:p>
    <w:p>
      <w:pPr>
        <w:spacing w:after="0" w:line="158" w:lineRule="exact"/>
        <w:rPr>
          <w:sz w:val="20"/>
          <w:szCs w:val="20"/>
          <w:color w:val="auto"/>
        </w:rPr>
      </w:pPr>
    </w:p>
    <w:p>
      <w:pPr>
        <w:ind w:left="340" w:hanging="332"/>
        <w:spacing w:after="0"/>
        <w:tabs>
          <w:tab w:leader="none" w:pos="34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6" w:name="page467"/>
    <w:bookmarkEnd w:id="466"/>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72" w:lineRule="exact"/>
        <w:rPr>
          <w:sz w:val="20"/>
          <w:szCs w:val="20"/>
          <w:color w:val="auto"/>
        </w:rPr>
      </w:pPr>
    </w:p>
    <w:p>
      <w:pPr>
        <w:ind w:left="332" w:hanging="332"/>
        <w:spacing w:after="0"/>
        <w:tabs>
          <w:tab w:leader="none" w:pos="332"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7.1The execution, validity, interpretation, performance, amendment and termination of this Agreement and the resolution of any disputes hereunder shall be governed by the PRC laws.</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7.2Any dispute arising from the interpretation or performance of this Agreement shall first be resolved through friendly consultation between the Parties. If the dispute cannot be resolved within thirty (30) days after one Party delivers a written notice requesting consultation, either Party may submit such dispute to the China International Economic and Trade Arbitration Commission (“CIETAC”) for arbitration in accordance with its then-effective arbitration rules. The arbitration shall be conducted in Shenzhen. The arbitral award shall be final and binding upon the Parties.</w:t>
      </w:r>
    </w:p>
    <w:p>
      <w:pPr>
        <w:spacing w:after="0" w:line="183" w:lineRule="exact"/>
        <w:rPr>
          <w:rFonts w:ascii="Times New Roman" w:cs="Times New Roman" w:eastAsia="Times New Roman" w:hAnsi="Times New Roman"/>
          <w:sz w:val="18"/>
          <w:szCs w:val="18"/>
          <w:b w:val="1"/>
          <w:bCs w:val="1"/>
          <w:color w:val="auto"/>
        </w:rPr>
      </w:pPr>
    </w:p>
    <w:p>
      <w:pPr>
        <w:ind w:left="97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8.1This Agreement shall become effective upon execution by the Parties and shall terminate upon full performance by the Parties of their respective obligations hereunder.</w:t>
      </w:r>
    </w:p>
    <w:p>
      <w:pPr>
        <w:spacing w:after="0" w:line="161" w:lineRule="exact"/>
        <w:rPr>
          <w:rFonts w:ascii="Times New Roman" w:cs="Times New Roman" w:eastAsia="Times New Roman" w:hAnsi="Times New Roman"/>
          <w:sz w:val="18"/>
          <w:szCs w:val="18"/>
          <w:b w:val="1"/>
          <w:bCs w:val="1"/>
          <w:color w:val="auto"/>
        </w:rPr>
      </w:pPr>
    </w:p>
    <w:p>
      <w:pPr>
        <w:ind w:left="97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8.2This Agreement is executed in two (2) originals, one held by the Lender and one held by the Borrower, and both originals shall have equal legal effect.</w:t>
      </w:r>
    </w:p>
    <w:p>
      <w:pPr>
        <w:spacing w:after="0" w:line="161" w:lineRule="exact"/>
        <w:rPr>
          <w:rFonts w:ascii="Times New Roman" w:cs="Times New Roman" w:eastAsia="Times New Roman" w:hAnsi="Times New Roman"/>
          <w:sz w:val="18"/>
          <w:szCs w:val="18"/>
          <w:b w:val="1"/>
          <w:bCs w:val="1"/>
          <w:color w:val="auto"/>
        </w:rPr>
      </w:pPr>
    </w:p>
    <w:p>
      <w:pPr>
        <w:ind w:left="97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8.3Any amendment or supplement to this Agreement shall be made in writing and signed by the Parties. Any amendment agreement and/or supplemental agreement relating to this Agreement shall form an integral part hereof and shall have the same legal effect as this Agreement.</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8.4If any provision of this Agreement is held invalid, illegal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67" w:name="page468"/>
    <w:bookmarkEnd w:id="467"/>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80"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Any annexes (if any) to this Agreement shall form an integral part hereof and shall have the same legal effect as this Agreement.</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Any obligations incurred or accrued under this Agreement prior to expiration or early termination shall survive such expiration or termination. The provisions of Sections 4, 6, 7 and this Section 8.6 shall survive the termination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68" w:name="page469"/>
    <w:bookmarkEnd w:id="468"/>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Loan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69" w:name="page470"/>
    <w:bookmarkEnd w:id="469"/>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Loan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8"/>
          <w:szCs w:val="18"/>
          <w:b w:val="1"/>
          <w:bCs w:val="1"/>
          <w:color w:val="auto"/>
        </w:rPr>
        <w:t>Exhibit 4.37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Exclusive Option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[February 27], 2025 in [Shenzhen], the People’s Republic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 the following parties:</w:t>
      </w:r>
    </w:p>
    <w:p>
      <w:pPr>
        <w:spacing w:after="0" w:line="203" w:lineRule="exact"/>
        <w:rPr>
          <w:sz w:val="20"/>
          <w:szCs w:val="20"/>
          <w:color w:val="auto"/>
        </w:rPr>
      </w:pPr>
    </w:p>
    <w:p>
      <w:pPr>
        <w:jc w:val="both"/>
        <w:ind w:left="98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Party A:</w:t>
      </w:r>
      <w:r>
        <w:rPr>
          <w:sz w:val="20"/>
          <w:szCs w:val="20"/>
          <w:color w:val="auto"/>
        </w:rPr>
        <w:tab/>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a wholly foreign-owned enterprise duly established and validly existing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PRC laws, with its address at Room 0610-E12, Port Building, Maritime Center, No. 59 Linhai Avenue, Nanshan Subdistrict, Qianhai Shenzhen-Hongkong Modern Service Industry Cooperation Zone, Shenzhen;</w:t>
      </w:r>
    </w:p>
    <w:p>
      <w:pPr>
        <w:spacing w:after="0" w:line="17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Party B:</w:t>
      </w:r>
      <w:r>
        <w:rPr>
          <w:sz w:val="20"/>
          <w:szCs w:val="20"/>
          <w:color w:val="auto"/>
        </w:rPr>
        <w:tab/>
      </w:r>
      <w:r>
        <w:rPr>
          <w:rFonts w:ascii="Times New Roman" w:cs="Times New Roman" w:eastAsia="Times New Roman" w:hAnsi="Times New Roman"/>
          <w:sz w:val="18"/>
          <w:szCs w:val="18"/>
          <w:b w:val="1"/>
          <w:bCs w:val="1"/>
          <w:color w:val="auto"/>
        </w:rPr>
        <w:t>Li Xiaosong</w:t>
      </w:r>
      <w:r>
        <w:rPr>
          <w:rFonts w:ascii="Times New Roman" w:cs="Times New Roman" w:eastAsia="Times New Roman" w:hAnsi="Times New Roman"/>
          <w:sz w:val="18"/>
          <w:szCs w:val="18"/>
          <w:color w:val="auto"/>
        </w:rPr>
        <w:t>, a PRC citizen, ID No. ******************, residing at [Room 310-4-608, Science Park South Third Zone,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Olympic Village Subdistrict, Chaoyang District, Beijing]; and</w:t>
      </w:r>
    </w:p>
    <w:p>
      <w:pPr>
        <w:spacing w:after="0" w:line="155" w:lineRule="exact"/>
        <w:rPr>
          <w:sz w:val="20"/>
          <w:szCs w:val="20"/>
          <w:color w:val="auto"/>
        </w:rPr>
      </w:pPr>
    </w:p>
    <w:p>
      <w:pPr>
        <w:jc w:val="both"/>
        <w:ind w:left="980" w:right="2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Party C:</w:t>
      </w:r>
      <w:r>
        <w:rPr>
          <w:sz w:val="20"/>
          <w:szCs w:val="20"/>
          <w:color w:val="auto"/>
        </w:rPr>
        <w:tab/>
      </w:r>
      <w:r>
        <w:rPr>
          <w:rFonts w:ascii="Times New Roman" w:cs="Times New Roman" w:eastAsia="Times New Roman" w:hAnsi="Times New Roman"/>
          <w:sz w:val="18"/>
          <w:szCs w:val="18"/>
          <w:b w:val="1"/>
          <w:bCs w:val="1"/>
          <w:color w:val="auto"/>
        </w:rPr>
        <w:t>Shenzhen Zhilue Xinsi Consulting Co., Ltd.</w:t>
      </w:r>
      <w:r>
        <w:rPr>
          <w:rFonts w:ascii="Times New Roman" w:cs="Times New Roman" w:eastAsia="Times New Roman" w:hAnsi="Times New Roman"/>
          <w:sz w:val="18"/>
          <w:szCs w:val="18"/>
          <w:color w:val="auto"/>
        </w:rPr>
        <w:t>, a limited liability company duly established and validly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PRC laws, with its address at Room 1374A, Guoxin Investment Building, No. 07 Gaoxin South 7th Road, High-Tech Zone Community, Yuehai Subdistrict, Nanshan District, Shenzhen.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Party B, and Party C are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line="282" w:lineRule="auto"/>
        <w:tabs>
          <w:tab w:leader="none" w:pos="6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shareholder of Party C. As of the date of this Agreement, Party B holds [40]% of the equity interest in Party C, representing registered capital of RMB [40,000].</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pursuant to this Agreement, to grant Party A an exclusive right to purchase all or part of the equity interest in Party C held by Party B at such time.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ind w:left="340" w:right="5640" w:hanging="332"/>
        <w:spacing w:after="0" w:line="537" w:lineRule="auto"/>
        <w:tabs>
          <w:tab w:leader="none" w:pos="34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Grant of Equity Option and Asset Purchase Option </w:t>
      </w:r>
      <w:r>
        <w:rPr>
          <w:rFonts w:ascii="Times New Roman" w:cs="Times New Roman" w:eastAsia="Times New Roman" w:hAnsi="Times New Roman"/>
          <w:sz w:val="18"/>
          <w:szCs w:val="18"/>
          <w:color w:val="auto"/>
        </w:rPr>
        <w:t>1.1. Equity Purchase Option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71" w:name="page472"/>
    <w:bookmarkEnd w:id="471"/>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Party B hereby irrevocably grants Party A a proprietary right, to the extent permitted under PRC laws, exercisable in accordance with the steps determined by Party A at its sole discretion and at the price set forth in Section 1.3, to purchase from Party B, or designate one or more persons (“</w:t>
      </w:r>
      <w:r>
        <w:rPr>
          <w:rFonts w:ascii="Times New Roman" w:cs="Times New Roman" w:eastAsia="Times New Roman" w:hAnsi="Times New Roman"/>
          <w:sz w:val="18"/>
          <w:szCs w:val="18"/>
          <w:b w:val="1"/>
          <w:bCs w:val="1"/>
          <w:color w:val="auto"/>
        </w:rPr>
        <w:t>Designee(s)</w:t>
      </w:r>
      <w:r>
        <w:rPr>
          <w:rFonts w:ascii="Times New Roman" w:cs="Times New Roman" w:eastAsia="Times New Roman" w:hAnsi="Times New Roman"/>
          <w:sz w:val="18"/>
          <w:szCs w:val="18"/>
          <w:color w:val="auto"/>
        </w:rPr>
        <w:t>”) to purchase, at any time and from time to time, all or part of the equity interest in Party C then held by Party B (“</w:t>
      </w:r>
      <w:r>
        <w:rPr>
          <w:rFonts w:ascii="Times New Roman" w:cs="Times New Roman" w:eastAsia="Times New Roman" w:hAnsi="Times New Roman"/>
          <w:sz w:val="18"/>
          <w:szCs w:val="18"/>
          <w:b w:val="1"/>
          <w:bCs w:val="1"/>
          <w:color w:val="auto"/>
        </w:rPr>
        <w:t>Equity Purchase Option</w:t>
      </w:r>
      <w:r>
        <w:rPr>
          <w:rFonts w:ascii="Times New Roman" w:cs="Times New Roman" w:eastAsia="Times New Roman" w:hAnsi="Times New Roman"/>
          <w:sz w:val="18"/>
          <w:szCs w:val="18"/>
          <w:color w:val="auto"/>
        </w:rPr>
        <w:t>”). Except for Party A and the Designee(s), no other Person shall be entitled to the Equity Purchase Option or any other rights with respect to the equity interest held by Party B. Party C hereby consents to Party B granting the Equity Purchase Option to Party A. For purposes of this Agreement, “Person” means any individual, company, joint venture, partnership, enterprise, trust or non-corporate organization.</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Exercise Procedures</w:t>
      </w:r>
    </w:p>
    <w:p>
      <w:pPr>
        <w:spacing w:after="0" w:line="22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Party A’s exercise of the Equity Purchase Option shall be subject to compliance with applicable PRC laws and regulations. Upon exercising the Equity Purchase Option, Party A shall deliver a written notice (“</w:t>
      </w:r>
      <w:r>
        <w:rPr>
          <w:rFonts w:ascii="Times New Roman" w:cs="Times New Roman" w:eastAsia="Times New Roman" w:hAnsi="Times New Roman"/>
          <w:sz w:val="18"/>
          <w:szCs w:val="18"/>
          <w:b w:val="1"/>
          <w:bCs w:val="1"/>
          <w:color w:val="auto"/>
        </w:rPr>
        <w:t>Equity Purchase Notice</w:t>
      </w:r>
      <w:r>
        <w:rPr>
          <w:rFonts w:ascii="Times New Roman" w:cs="Times New Roman" w:eastAsia="Times New Roman" w:hAnsi="Times New Roman"/>
          <w:sz w:val="18"/>
          <w:szCs w:val="18"/>
          <w:color w:val="auto"/>
        </w:rPr>
        <w:t>”) to Party B, specifying: (a) Party A’s or the Designee’s decision to exercise the Equity Purchase Option; (b) the equity interest to be purchased from Party B (“</w:t>
      </w:r>
      <w:r>
        <w:rPr>
          <w:rFonts w:ascii="Times New Roman" w:cs="Times New Roman" w:eastAsia="Times New Roman" w:hAnsi="Times New Roman"/>
          <w:sz w:val="18"/>
          <w:szCs w:val="18"/>
          <w:b w:val="1"/>
          <w:bCs w:val="1"/>
          <w:color w:val="auto"/>
        </w:rPr>
        <w:t>Purchased Equity</w:t>
      </w:r>
      <w:r>
        <w:rPr>
          <w:rFonts w:ascii="Times New Roman" w:cs="Times New Roman" w:eastAsia="Times New Roman" w:hAnsi="Times New Roman"/>
          <w:sz w:val="18"/>
          <w:szCs w:val="18"/>
          <w:color w:val="auto"/>
        </w:rPr>
        <w:t>”); and (c) the purchase date/transfer date of the Purchased Equity.</w:t>
      </w:r>
    </w:p>
    <w:p>
      <w:pPr>
        <w:spacing w:after="0" w:line="18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Within five (5) business days after Party A exercises the Equity Purchase Option and delivers the written notice to Party B, Party B shall cooperate in executing an equity transfer agreement in the form attached hereto as Annex 1 and shall cooperate in completing the relevant registration of change with the competent registration authority. For the avoidance of doubt, provided that the relevant equity transfer agreement complies with applicable laws and the provisions relating to the Equity Purchase Option under this Agreement, Party A shall have the right to make reasonable revisions to the version of such equity transfer agreement.</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Equity Purchase Price</w:t>
      </w:r>
    </w:p>
    <w:p>
      <w:pPr>
        <w:spacing w:after="0" w:line="221"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color w:val="auto"/>
        </w:rPr>
        <w:t>The purchase price for the Purchased Equity (“</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shall be RMB 1. If the lowest price permitted under PRC laws at the time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877" w:right="999" w:bottom="1440" w:gutter="0" w:footer="0" w:header="0"/>
        </w:sectPr>
      </w:pPr>
    </w:p>
    <w:bookmarkStart w:id="472" w:name="page473"/>
    <w:bookmarkEnd w:id="472"/>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exceeds the Base Purchase Price, the transfer price shall be the lowest price permitted under PRC laws (collectively, “</w:t>
      </w:r>
      <w:r>
        <w:rPr>
          <w:rFonts w:ascii="Times New Roman" w:cs="Times New Roman" w:eastAsia="Times New Roman" w:hAnsi="Times New Roman"/>
          <w:sz w:val="18"/>
          <w:szCs w:val="18"/>
          <w:b w:val="1"/>
          <w:bCs w:val="1"/>
          <w:color w:val="auto"/>
        </w:rPr>
        <w:t>Equity Purchase Price</w:t>
      </w:r>
      <w:r>
        <w:rPr>
          <w:rFonts w:ascii="Times New Roman" w:cs="Times New Roman" w:eastAsia="Times New Roman" w:hAnsi="Times New Roman"/>
          <w:sz w:val="18"/>
          <w:szCs w:val="18"/>
          <w:color w:val="auto"/>
        </w:rPr>
        <w:t>”). Subject to Party C having fulfilled its obligations under Section 6 of this Agreement, all Equity Purchase Price received by Party B from the transfer of the Purchased Equity, as well as any other proceeds received by Party B in connection with such transfer, shall be used to repay the loans (if any) extended by Party A to Party B immediately upon receipt. Any remaining balance after repayment of such loans shall be transferred to Party A or the Designee(s) without consideration. For the avoidance of doubt, the Equity Purchase Price payable to Party A or the Designee(s) shall be net of: (i) any capital contribution paid by Party B to Party C using Party B’s own funds (excluding loans provided by Party A to Party B for the purpose of capital increase in Party C); and (ii) any taxes, costs and expenses already paid by Party B in connection with the preparation and execution of this Agreement and each transfer agreement (as defined below) and the consummation of the transactions contemplated hereby and thereby.</w:t>
      </w:r>
    </w:p>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Transfer of Purchased Equity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time Party A exercises the Equity Purchase Option:</w:t>
      </w:r>
    </w:p>
    <w:p>
      <w:pPr>
        <w:spacing w:after="0" w:line="225"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1.4.1.</w:t>
        <w:tab/>
        <w:t>Party C shall promptly convene a shareholders’ meeting at which a resolution approving the transfer of the Purchased Equity by Party B to Party A and/or the Designee(s) shall be adopted;</w:t>
      </w:r>
    </w:p>
    <w:p>
      <w:pPr>
        <w:spacing w:after="0" w:line="162"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1.4.2.</w:t>
        <w:tab/>
        <w:t>Party C shall procure written consent from its other shareholders approving the transfer of the Purchased Equity by Party B to Party A and/or the Designee(s) and waiving any pre-emptive rights;</w:t>
      </w:r>
    </w:p>
    <w:p>
      <w:pPr>
        <w:spacing w:after="0" w:line="162" w:lineRule="exact"/>
        <w:rPr>
          <w:sz w:val="20"/>
          <w:szCs w:val="20"/>
          <w:color w:val="auto"/>
        </w:rPr>
      </w:pPr>
    </w:p>
    <w:p>
      <w:pPr>
        <w:jc w:val="both"/>
        <w:ind w:left="1280" w:hanging="647"/>
        <w:spacing w:after="0" w:line="275" w:lineRule="auto"/>
        <w:tabs>
          <w:tab w:leader="none" w:pos="1260" w:val="left"/>
        </w:tabs>
        <w:rPr>
          <w:sz w:val="20"/>
          <w:szCs w:val="20"/>
          <w:color w:val="auto"/>
        </w:rPr>
      </w:pPr>
      <w:r>
        <w:rPr>
          <w:rFonts w:ascii="Times New Roman" w:cs="Times New Roman" w:eastAsia="Times New Roman" w:hAnsi="Times New Roman"/>
          <w:sz w:val="18"/>
          <w:szCs w:val="18"/>
          <w:color w:val="auto"/>
        </w:rPr>
        <w:t>1.4.3.</w:t>
        <w:tab/>
        <w:t>Party B shall execute, with Party A and/or the Designee(s) (as applicable), an equity transfer agreement in the form attached hereto as Annex 1 for each transfer in accordance with this Agreement and the Equity Purchase Notice;</w:t>
      </w:r>
    </w:p>
    <w:p>
      <w:pPr>
        <w:spacing w:after="0" w:line="390"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1.4.4.</w:t>
        <w:tab/>
        <w:t>The relevant parties shall execute all other necessary contracts, agreements or documents, obtain all required governmental approvals and consents, and take all necessary actions to transfer good and valid title to the Purchased Equity to Party A and/or the Designee(s),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877" w:right="999" w:bottom="1440" w:gutter="0" w:footer="0" w:header="0"/>
        </w:sectPr>
      </w:pPr>
    </w:p>
    <w:bookmarkStart w:id="473" w:name="page474"/>
    <w:bookmarkEnd w:id="473"/>
    <w:p>
      <w:pPr>
        <w:jc w:val="both"/>
        <w:ind w:left="1612"/>
        <w:spacing w:after="0" w:line="253" w:lineRule="auto"/>
        <w:rPr>
          <w:sz w:val="20"/>
          <w:szCs w:val="20"/>
          <w:color w:val="auto"/>
        </w:rPr>
      </w:pPr>
      <w:r>
        <w:rPr>
          <w:rFonts w:ascii="Times New Roman" w:cs="Times New Roman" w:eastAsia="Times New Roman" w:hAnsi="Times New Roman"/>
          <w:sz w:val="18"/>
          <w:szCs w:val="18"/>
          <w:color w:val="auto"/>
        </w:rPr>
        <w:t>and clear of any Security Interest, and cause Party A and/or the Designee(s) to be registered as the holder(s) of the Purchased Equity. For purposes of this Section and this Agreement, “Security Interest” includes any guarantee, mortgage, pledge, third-party right or interest, option, right of acquisition, right of first refusal, right of set-off, title retention arrangement or any other security arrangement; provided, however, for the avoidance of doubt, that any Security Interest arising under this Agreement, the Party B Equity Pledge Agreement and the Party B Power of Attorney shall not be included. For purposes of this Agreement, the “Party B Equity Pledge Agreement” refers to the Equity Pledge Agreement entered into by Party A, Party B and Party C on [February 27], 2025, including any amendments, supplements or restatements thereto; and the “Party B Power of Attorney” refers to the power of attorney executed by Party B in favor of Party A on [February 27], 2025, including any amendments, supplements or restatements thereto.</w:t>
      </w:r>
    </w:p>
    <w:p>
      <w:pPr>
        <w:spacing w:after="0" w:line="194"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Asset Purchase Option</w:t>
      </w:r>
    </w:p>
    <w:p>
      <w:pPr>
        <w:spacing w:after="0" w:line="225" w:lineRule="exact"/>
        <w:rPr>
          <w:sz w:val="20"/>
          <w:szCs w:val="20"/>
          <w:color w:val="auto"/>
        </w:rPr>
      </w:pPr>
    </w:p>
    <w:p>
      <w:pPr>
        <w:jc w:val="both"/>
        <w:ind w:left="972"/>
        <w:spacing w:after="0" w:line="258" w:lineRule="auto"/>
        <w:rPr>
          <w:sz w:val="20"/>
          <w:szCs w:val="20"/>
          <w:color w:val="auto"/>
        </w:rPr>
      </w:pPr>
      <w:r>
        <w:rPr>
          <w:rFonts w:ascii="Times New Roman" w:cs="Times New Roman" w:eastAsia="Times New Roman" w:hAnsi="Times New Roman"/>
          <w:sz w:val="18"/>
          <w:szCs w:val="18"/>
          <w:color w:val="auto"/>
        </w:rPr>
        <w:t>Party C hereby grants Party A an irrevocable and exclusive option, to the extent permitted under PRC laws and regulations, exercisable at Party A’s sole discretion and in accordance with procedures determined by Party A, to purchase, or designate the Designee(s) to purchase, at any time, all or part of the assets of Party C at the lowest price permitted under PRC laws. At such time, Party A or the Designee(s) and Party C shall enter into a separate asset transfer agreement to set forth the terms and conditions of such asset transfer.</w:t>
      </w:r>
    </w:p>
    <w:p>
      <w:pPr>
        <w:spacing w:after="0" w:line="179" w:lineRule="exact"/>
        <w:rPr>
          <w:sz w:val="20"/>
          <w:szCs w:val="20"/>
          <w:color w:val="auto"/>
        </w:rPr>
      </w:pPr>
    </w:p>
    <w:p>
      <w:pPr>
        <w:ind w:left="332" w:hanging="332"/>
        <w:spacing w:after="0"/>
        <w:tabs>
          <w:tab w:leader="none" w:pos="332"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auto"/>
        </w:rPr>
        <w:t>Covenants of Party C</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Party C hereby covenants as follows:</w:t>
      </w:r>
    </w:p>
    <w:p>
      <w:pPr>
        <w:spacing w:after="0" w:line="225" w:lineRule="exact"/>
        <w:rPr>
          <w:sz w:val="20"/>
          <w:szCs w:val="20"/>
          <w:color w:val="auto"/>
        </w:rPr>
      </w:pPr>
    </w:p>
    <w:p>
      <w:pPr>
        <w:jc w:val="center"/>
        <w:ind w:left="1960"/>
        <w:spacing w:after="0" w:line="282" w:lineRule="auto"/>
        <w:rPr>
          <w:sz w:val="20"/>
          <w:szCs w:val="20"/>
          <w:color w:val="auto"/>
        </w:rPr>
      </w:pPr>
      <w:r>
        <w:rPr>
          <w:rFonts w:ascii="Times New Roman" w:cs="Times New Roman" w:eastAsia="Times New Roman" w:hAnsi="Times New Roman"/>
          <w:sz w:val="18"/>
          <w:szCs w:val="18"/>
          <w:color w:val="auto"/>
        </w:rPr>
        <w:t>2.1.1.   Without the prior written consent of Party A, Party C shall not, in any manner, supplement, amend or modify its constitutional documents, increase or decrease its registered capital, or otherwise alter its capital structure;</w:t>
      </w:r>
    </w:p>
    <w:p>
      <w:pPr>
        <w:spacing w:after="0" w:line="162"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2.1.2.</w:t>
        <w:tab/>
        <w:t>Party C shall maintain its corporate existence in accordance with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74" w:name="page475"/>
    <w:bookmarkEnd w:id="474"/>
    <w:p>
      <w:pPr>
        <w:jc w:val="both"/>
        <w:ind w:left="1160"/>
        <w:spacing w:after="0" w:line="266" w:lineRule="auto"/>
        <w:rPr>
          <w:sz w:val="20"/>
          <w:szCs w:val="20"/>
          <w:color w:val="auto"/>
        </w:rPr>
      </w:pPr>
      <w:r>
        <w:rPr>
          <w:rFonts w:ascii="Times New Roman" w:cs="Times New Roman" w:eastAsia="Times New Roman" w:hAnsi="Times New Roman"/>
          <w:sz w:val="18"/>
          <w:szCs w:val="18"/>
          <w:color w:val="auto"/>
        </w:rPr>
        <w:t>financial and business standards and practices, obtain and maintain all governmental approvals, permits and licenses necessary for its business operations, and operate its business and manage its affairs prudently and effectively;</w:t>
      </w:r>
    </w:p>
    <w:p>
      <w:pPr>
        <w:spacing w:after="0" w:line="176"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2.1.3.</w:t>
        <w:tab/>
        <w:t>Without the prior written consent of Party A, Party C shall not, at any time from the date hereof, sell, transfer, mortgage or otherwise dispose of any material asset, business or lawful or beneficial interest in its revenue, nor permit any Security Interest to be created thereon;</w:t>
      </w:r>
    </w:p>
    <w:p>
      <w:pPr>
        <w:spacing w:after="0" w:line="176"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2.1.4.</w:t>
        <w:tab/>
        <w:t>Without the prior written consent of Party A, Party C shall not incur, assume, guarantee or permit the existence of any indebtedness, except for accounts payable incurred in the ordinary course of business other than through borrowings;</w:t>
      </w:r>
    </w:p>
    <w:p>
      <w:pPr>
        <w:spacing w:after="0" w:line="176"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2.1.5.</w:t>
        <w:tab/>
        <w:t>Party C shall conduct all of its business in the ordinary course of business so as to maintain the value of its assets and shall not take or omit to take any action that may materially affect its operating condition or asset value;</w:t>
      </w:r>
    </w:p>
    <w:p>
      <w:pPr>
        <w:spacing w:after="0" w:line="162"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2.1.6.</w:t>
        <w:tab/>
        <w:t>Without the prior written consent of Party A, Party C shall not enter into any material contract, except for contracts entered into in the ordinary course of business (for purposes of this paragraph, any contract with a total amount exceeding RMB 50,000 shall be deemed a material contract);</w:t>
      </w:r>
    </w:p>
    <w:p>
      <w:pPr>
        <w:spacing w:after="0" w:line="176"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provide any loan or credit to any Person;</w:t>
      </w:r>
    </w:p>
    <w:p>
      <w:pPr>
        <w:spacing w:after="0" w:line="225"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2.1.8.</w:t>
        <w:tab/>
        <w:t>Upon request of Party A, Party C shall provide Party A with all information relating to the operations and financial condition of Party C;</w:t>
      </w:r>
    </w:p>
    <w:p>
      <w:pPr>
        <w:spacing w:after="0" w:line="162" w:lineRule="exact"/>
        <w:rPr>
          <w:sz w:val="20"/>
          <w:szCs w:val="20"/>
          <w:color w:val="auto"/>
        </w:rPr>
      </w:pPr>
    </w:p>
    <w:p>
      <w:pPr>
        <w:jc w:val="both"/>
        <w:ind w:left="1160" w:right="2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2.1.9.</w:t>
        <w:tab/>
        <w:t>At the request of Party A, Party C shall procure and maintain insurance covering its assets and business with an insurance carrier acceptable to Party A, in amounts and types consistent with companies engaged in similar business operations;</w:t>
      </w:r>
    </w:p>
    <w:p>
      <w:pPr>
        <w:spacing w:after="0" w:line="176"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8"/>
          <w:szCs w:val="18"/>
          <w:color w:val="auto"/>
        </w:rPr>
        <w:t>2.1.10.</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merge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75" w:name="page476"/>
    <w:bookmarkEnd w:id="475"/>
    <w:p>
      <w:pPr>
        <w:ind w:left="1160"/>
        <w:spacing w:after="0"/>
        <w:rPr>
          <w:sz w:val="20"/>
          <w:szCs w:val="20"/>
          <w:color w:val="auto"/>
        </w:rPr>
      </w:pPr>
      <w:r>
        <w:rPr>
          <w:rFonts w:ascii="Times New Roman" w:cs="Times New Roman" w:eastAsia="Times New Roman" w:hAnsi="Times New Roman"/>
          <w:sz w:val="18"/>
          <w:szCs w:val="18"/>
          <w:color w:val="auto"/>
        </w:rPr>
        <w:t>or consolidate with any Person, or acquire or invest in any Person;</w:t>
      </w:r>
    </w:p>
    <w:p>
      <w:pPr>
        <w:spacing w:after="0" w:line="225"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2.1.11.</w:t>
        <w:tab/>
        <w:t>Party C shall promptly notify Party A of any litigation, arbitration or administrative proceeding relating to its assets, business or revenue that has occurred or may occur;</w:t>
      </w:r>
    </w:p>
    <w:p>
      <w:pPr>
        <w:spacing w:after="0" w:line="162"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2.1.12.</w:t>
        <w:tab/>
        <w:t>In order to maintain Party C’s ownership of all of its assets, Party C shall execute all necessary or appropriate documents, take all necessary or appropriate actions, file all necessary or appropriate claims, and make all necessary or appropriate defenses against any claims;</w:t>
      </w:r>
    </w:p>
    <w:p>
      <w:pPr>
        <w:spacing w:after="0" w:line="176"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2.1.13.</w:t>
        <w:tab/>
        <w:t>Without the prior written consent of Party A, Party C shall not declare or distribute any dividends to its shareholders; provided that, upon request of Party A, Party C shall promptly distribute all of its distributable profits to its shareholders;</w:t>
      </w:r>
    </w:p>
    <w:p>
      <w:pPr>
        <w:spacing w:after="0" w:line="176" w:lineRule="exact"/>
        <w:rPr>
          <w:sz w:val="20"/>
          <w:szCs w:val="20"/>
          <w:color w:val="auto"/>
        </w:rPr>
      </w:pPr>
    </w:p>
    <w:p>
      <w:pPr>
        <w:jc w:val="both"/>
        <w:ind w:left="1160" w:right="2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2.1.14.</w:t>
        <w:tab/>
        <w:t>At the request of Party A, Party C shall appoint any Person designated by Party A as a director or executive director of Party C;</w:t>
      </w:r>
    </w:p>
    <w:p>
      <w:pPr>
        <w:spacing w:after="0" w:line="162" w:lineRule="exact"/>
        <w:rPr>
          <w:sz w:val="20"/>
          <w:szCs w:val="20"/>
          <w:color w:val="auto"/>
        </w:rPr>
      </w:pPr>
    </w:p>
    <w:p>
      <w:pPr>
        <w:jc w:val="both"/>
        <w:ind w:left="1160" w:right="2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2.1.15.</w:t>
        <w:tab/>
        <w:t>Without the prior written consent of Party A, Party C shall not engage in any business that competes with the business of Party A or any of its Affiliates;</w:t>
      </w:r>
    </w:p>
    <w:p>
      <w:pPr>
        <w:spacing w:after="0" w:line="162" w:lineRule="exact"/>
        <w:rPr>
          <w:sz w:val="20"/>
          <w:szCs w:val="20"/>
          <w:color w:val="auto"/>
        </w:rPr>
      </w:pPr>
    </w:p>
    <w:p>
      <w:pPr>
        <w:jc w:val="both"/>
        <w:ind w:left="116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2.1.16.</w:t>
        <w:tab/>
        <w:t>Unless required by mandatory provisions of PRC laws, Party C shall not be dissolved or liquidated without the prior written consent of Party A;</w:t>
      </w:r>
    </w:p>
    <w:p>
      <w:pPr>
        <w:spacing w:after="0" w:line="162" w:lineRule="exact"/>
        <w:rPr>
          <w:sz w:val="20"/>
          <w:szCs w:val="20"/>
          <w:color w:val="auto"/>
        </w:rPr>
      </w:pPr>
    </w:p>
    <w:p>
      <w:pPr>
        <w:jc w:val="both"/>
        <w:ind w:left="1160" w:hanging="647"/>
        <w:spacing w:after="0" w:line="258" w:lineRule="auto"/>
        <w:tabs>
          <w:tab w:leader="none" w:pos="1140" w:val="left"/>
        </w:tabs>
        <w:rPr>
          <w:sz w:val="20"/>
          <w:szCs w:val="20"/>
          <w:color w:val="auto"/>
        </w:rPr>
      </w:pPr>
      <w:r>
        <w:rPr>
          <w:rFonts w:ascii="Times New Roman" w:cs="Times New Roman" w:eastAsia="Times New Roman" w:hAnsi="Times New Roman"/>
          <w:sz w:val="18"/>
          <w:szCs w:val="18"/>
          <w:color w:val="auto"/>
        </w:rPr>
        <w:t>2.1.17.</w:t>
        <w:tab/>
        <w:t>The shareholders’ meeting and/or the directors (or executive director) of Party C shall not approve, without the prior written consent of Party A, any sale, transfer, mortgage or other disposition by Party B of any legal or beneficial interest in the equity interest of Party C held by Party B, nor permit any Security Interest to be created thereon, other than any rights created pursuant to the Party B Equity Pledge Agreement and the Party B Power of Attorney; and</w:t>
      </w:r>
    </w:p>
    <w:p>
      <w:pPr>
        <w:spacing w:after="0" w:line="183" w:lineRule="exact"/>
        <w:rPr>
          <w:sz w:val="20"/>
          <w:szCs w:val="20"/>
          <w:color w:val="auto"/>
        </w:rPr>
      </w:pPr>
    </w:p>
    <w:p>
      <w:pPr>
        <w:jc w:val="both"/>
        <w:ind w:left="1160" w:right="20" w:hanging="6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2.1.18.</w:t>
        <w:tab/>
        <w:t>The shareholders’ meeting or the directors (or executive director) of Party C shall vote in favor of the transfer of the Purchased Equity as provided under this Agreement and shall take any other actions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76" w:name="page477"/>
    <w:bookmarkEnd w:id="476"/>
    <w:p>
      <w:pPr>
        <w:ind w:left="1280"/>
        <w:spacing w:after="0"/>
        <w:rPr>
          <w:sz w:val="20"/>
          <w:szCs w:val="20"/>
          <w:color w:val="auto"/>
        </w:rPr>
      </w:pPr>
      <w:r>
        <w:rPr>
          <w:rFonts w:ascii="Times New Roman" w:cs="Times New Roman" w:eastAsia="Times New Roman" w:hAnsi="Times New Roman"/>
          <w:sz w:val="18"/>
          <w:szCs w:val="18"/>
          <w:color w:val="auto"/>
        </w:rPr>
        <w:t>requested by Party A.</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Covenants of Party 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Party B hereby covenants as follows:</w:t>
      </w:r>
    </w:p>
    <w:p>
      <w:pPr>
        <w:spacing w:after="0" w:line="225"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2.2.1.</w:t>
        <w:tab/>
        <w:t>Without the prior written consent of Party A, Party B shall not sell, transfer, mortgage or otherwise dispose of any legal or beneficial interest in the equity interest of Party C held by Party B, nor permit any Security Interest to be created thereon, other than any rights created pursuant to the Party B Equity Pledge Agreement and the Party B Power of Attorney;</w:t>
      </w:r>
    </w:p>
    <w:p>
      <w:pPr>
        <w:spacing w:after="0" w:line="180"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2.2.2.</w:t>
        <w:tab/>
        <w:t>Party B shall promptly notify Party A of any litigation, arbitration or administrative proceeding relating to the equity interest held by Party B that has occurred or may occur;</w:t>
      </w:r>
    </w:p>
    <w:p>
      <w:pPr>
        <w:spacing w:after="0" w:line="162"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2.2.3.</w:t>
        <w:tab/>
        <w:t>In order to maintain Party B’s ownership of the equity interest, Party B shall execute all necessary or appropriate documents, take all necessary or appropriate actions, file all necessary or appropriate claims, and make all necessary or appropriate defenses against any claims;</w:t>
      </w:r>
    </w:p>
    <w:p>
      <w:pPr>
        <w:spacing w:after="0" w:line="176" w:lineRule="exact"/>
        <w:rPr>
          <w:sz w:val="20"/>
          <w:szCs w:val="20"/>
          <w:color w:val="auto"/>
        </w:rPr>
      </w:pPr>
    </w:p>
    <w:p>
      <w:pPr>
        <w:jc w:val="both"/>
        <w:ind w:left="1280" w:hanging="647"/>
        <w:spacing w:after="0" w:line="258" w:lineRule="auto"/>
        <w:tabs>
          <w:tab w:leader="none" w:pos="1260" w:val="left"/>
        </w:tabs>
        <w:rPr>
          <w:sz w:val="20"/>
          <w:szCs w:val="20"/>
          <w:color w:val="auto"/>
        </w:rPr>
      </w:pPr>
      <w:r>
        <w:rPr>
          <w:rFonts w:ascii="Times New Roman" w:cs="Times New Roman" w:eastAsia="Times New Roman" w:hAnsi="Times New Roman"/>
          <w:sz w:val="18"/>
          <w:szCs w:val="18"/>
          <w:color w:val="auto"/>
        </w:rPr>
        <w:t>2.2.4.</w:t>
        <w:tab/>
        <w:t>Party B hereby waives any right of first refusal it may have with respect to any transfer of equity interest in Party C by any other shareholder of Party C to Party A (if any), agrees that such other shareholders of Party C may enter into exclusive option agreements, equity pledge agreements and powers of attorney with Party A and Party C that are substantially similar to this Agreement, the Party B Equity Pledge Agreement and the Party B Power of Attorney, and undertakes that it will not take any action that conflicts with such agreements;</w:t>
      </w:r>
    </w:p>
    <w:p>
      <w:pPr>
        <w:spacing w:after="0" w:line="183"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2.2.5.</w:t>
        <w:tab/>
        <w:t>To the extent permitted under PRC laws, any profits, dividends, distributions or liquidation proceeds received by Party B from Party C shall be promptly gifted to Party A or any Person designated by Party A; and</w:t>
      </w:r>
    </w:p>
    <w:p>
      <w:pPr>
        <w:spacing w:after="0" w:line="16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2.2.6.</w:t>
        <w:tab/>
        <w:t>Party B shall strictly comply with the provisions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877" w:right="999" w:bottom="1440" w:gutter="0" w:footer="0" w:header="0"/>
        </w:sectPr>
      </w:pPr>
    </w:p>
    <w:bookmarkStart w:id="477" w:name="page478"/>
    <w:bookmarkEnd w:id="477"/>
    <w:p>
      <w:pPr>
        <w:jc w:val="both"/>
        <w:ind w:left="1612"/>
        <w:spacing w:after="0" w:line="258" w:lineRule="auto"/>
        <w:rPr>
          <w:sz w:val="20"/>
          <w:szCs w:val="20"/>
          <w:color w:val="auto"/>
        </w:rPr>
      </w:pPr>
      <w:r>
        <w:rPr>
          <w:rFonts w:ascii="Times New Roman" w:cs="Times New Roman" w:eastAsia="Times New Roman" w:hAnsi="Times New Roman"/>
          <w:sz w:val="18"/>
          <w:szCs w:val="18"/>
          <w:color w:val="auto"/>
        </w:rPr>
        <w:t>all other agreements executed by Party B and Party C jointly or separately with Party A, duly perform all obligations thereunder, and shall not take or omit to take any action that may adversely affect the validity or enforceability of such agreements. To the extent Party B retains any rights with respect to the equity interest under this Agreement, the Party B Equity Pledge Agreement or the Party B Power of Attorney, Party B shall not exercise such rights without the written instruction of Party A.</w:t>
      </w:r>
    </w:p>
    <w:p>
      <w:pPr>
        <w:spacing w:after="0" w:line="179" w:lineRule="exact"/>
        <w:rPr>
          <w:sz w:val="20"/>
          <w:szCs w:val="20"/>
          <w:color w:val="auto"/>
        </w:rPr>
      </w:pPr>
    </w:p>
    <w:p>
      <w:pPr>
        <w:ind w:left="332" w:hanging="332"/>
        <w:spacing w:after="0"/>
        <w:tabs>
          <w:tab w:leader="none" w:pos="332"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hereby represents and warrants to Party A as of the date of this Agreement and as of each transfer date as follows:</w:t>
      </w:r>
    </w:p>
    <w:p>
      <w:pPr>
        <w:spacing w:after="0" w:line="225" w:lineRule="exact"/>
        <w:rPr>
          <w:rFonts w:ascii="Times New Roman" w:cs="Times New Roman" w:eastAsia="Times New Roman" w:hAnsi="Times New Roman"/>
          <w:sz w:val="18"/>
          <w:szCs w:val="18"/>
          <w:b w:val="1"/>
          <w:bCs w:val="1"/>
          <w:color w:val="auto"/>
        </w:rPr>
      </w:pPr>
    </w:p>
    <w:p>
      <w:pPr>
        <w:ind w:left="97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3.1.Party B has the requisite power, capacity and authority to execute and deliver this Agreement and any equity transfer agreement to be entered into by Party B pursuant to this Agreement for each transfer of the Purchased Equity (each, a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and to perform its obligations under this Agreement and any Transfer Agreement. Party B agrees that it shall execute Transfer Agreements consistent with the terms of this Agreement upon Party A’s exercise of the Equity Purchase Option. Upon execution, this Agreement and each Transfer Agreement to which Party B is a party constitute or will constitute legal, valid and binding obligations of Party B, enforceable against Party B in accordance with their respective terms;</w:t>
      </w:r>
    </w:p>
    <w:p>
      <w:pPr>
        <w:spacing w:after="0" w:line="188"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3.2.Party B has good and marketable title to the equity interest it holds in Party C, free and clear of any Security Interest, other than the equity pledge created under the equity pledge agreement entered into between Party A and Party B and the power of attorney granted by Party B to Party A.</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hereby represents and warrants to Party A as of the date of this Agreement and as of each transfer date as follows:</w:t>
      </w:r>
    </w:p>
    <w:p>
      <w:pPr>
        <w:spacing w:after="0" w:line="225" w:lineRule="exact"/>
        <w:rPr>
          <w:rFonts w:ascii="Times New Roman" w:cs="Times New Roman" w:eastAsia="Times New Roman" w:hAnsi="Times New Roman"/>
          <w:sz w:val="18"/>
          <w:szCs w:val="18"/>
          <w:b w:val="1"/>
          <w:bCs w:val="1"/>
          <w:color w:val="auto"/>
        </w:rPr>
      </w:pPr>
    </w:p>
    <w:p>
      <w:pPr>
        <w:ind w:left="972" w:right="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3.3.Party C has the requisite power, capacity and authority to execute and deliver this Agreement and any Transfer Agreement, and to perform its obligations under this Agreement and any Transfer Agreement. Party C agrees that it shall execute Transfer Agreements consistent with the terms of this Agreement upon Party A’s exercise of the Equity Purchase Option. Upon execution,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78" w:name="page479"/>
    <w:bookmarkEnd w:id="478"/>
    <w:p>
      <w:pPr>
        <w:ind w:left="972"/>
        <w:spacing w:after="0" w:line="282" w:lineRule="auto"/>
        <w:rPr>
          <w:sz w:val="20"/>
          <w:szCs w:val="20"/>
          <w:color w:val="auto"/>
        </w:rPr>
      </w:pPr>
      <w:r>
        <w:rPr>
          <w:rFonts w:ascii="Times New Roman" w:cs="Times New Roman" w:eastAsia="Times New Roman" w:hAnsi="Times New Roman"/>
          <w:sz w:val="18"/>
          <w:szCs w:val="18"/>
          <w:color w:val="auto"/>
        </w:rPr>
        <w:t>Agreement and each Transfer Agreement to which Party B is a party constitute or will constitute legal, valid and binding obligations of Party B, enforceable against Party B in accordance with their respective terms;</w:t>
      </w:r>
    </w:p>
    <w:p>
      <w:pPr>
        <w:spacing w:after="0" w:line="162" w:lineRule="exact"/>
        <w:rPr>
          <w:sz w:val="20"/>
          <w:szCs w:val="20"/>
          <w:color w:val="auto"/>
        </w:rPr>
      </w:pPr>
    </w:p>
    <w:p>
      <w:pPr>
        <w:jc w:val="both"/>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Party C has obtained all necessary consents and approvals from third parties and governmental authorities (if required) for the execution, delivery and performance of this Agreement;</w:t>
      </w:r>
    </w:p>
    <w:p>
      <w:pPr>
        <w:spacing w:after="0" w:line="162" w:lineRule="exact"/>
        <w:rPr>
          <w:sz w:val="20"/>
          <w:szCs w:val="20"/>
          <w:color w:val="auto"/>
        </w:rPr>
      </w:pPr>
    </w:p>
    <w:p>
      <w:pPr>
        <w:jc w:val="both"/>
        <w:ind w:left="972" w:hanging="647"/>
        <w:spacing w:after="0" w:line="256" w:lineRule="auto"/>
        <w:tabs>
          <w:tab w:leader="none" w:pos="951"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Neither the execution and delivery of this Agreement or any Transfer Agreement nor the performance of obligations hereunder or thereunder will: (i) result in a violation of any applicable PRC laws; (ii) conflict with the articles of association or other organizational documents of Party C; (iii) result in a breach of, or constitute a default under, any contract or instrument to which Party C is a party or by which it is bound; (iv) result in a breach of any condition applicable to the grant or continued effectiveness of any license or approval issued to Party C; or (v) result in the suspension, revocation or imposition of additional conditions on any license or approval issued to Party C;</w:t>
      </w:r>
    </w:p>
    <w:p>
      <w:pPr>
        <w:spacing w:after="0" w:line="187"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Party C has good and marketable title to all of its assets, free and clear of any Security Interest;</w:t>
      </w:r>
    </w:p>
    <w:p>
      <w:pPr>
        <w:spacing w:after="0" w:line="225" w:lineRule="exact"/>
        <w:rPr>
          <w:sz w:val="20"/>
          <w:szCs w:val="20"/>
          <w:color w:val="auto"/>
        </w:rPr>
      </w:pPr>
    </w:p>
    <w:p>
      <w:pPr>
        <w:jc w:val="both"/>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Party C has no outstanding indebtedness, except for (i) liabilities incurred in the ordinary course of business, and (ii) indebtedness disclosed to and approved in writing by Party A;</w:t>
      </w:r>
    </w:p>
    <w:p>
      <w:pPr>
        <w:spacing w:after="0" w:line="162"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Party C is in compliance with all applicable laws and regulations relating to the acquisition of assets; and</w:t>
      </w:r>
    </w:p>
    <w:p>
      <w:pPr>
        <w:spacing w:after="0" w:line="225" w:lineRule="exact"/>
        <w:rPr>
          <w:sz w:val="20"/>
          <w:szCs w:val="20"/>
          <w:color w:val="auto"/>
        </w:rPr>
      </w:pPr>
    </w:p>
    <w:p>
      <w:pPr>
        <w:jc w:val="both"/>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There are no pending or threatened litigation, arbitration or administrative proceedings relating to the equity interest, the assets of Party C or Party C itself.</w:t>
      </w:r>
    </w:p>
    <w:p>
      <w:pPr>
        <w:spacing w:after="0" w:line="158" w:lineRule="exact"/>
        <w:rPr>
          <w:sz w:val="20"/>
          <w:szCs w:val="20"/>
          <w:color w:val="auto"/>
        </w:rPr>
      </w:pPr>
    </w:p>
    <w:p>
      <w:pPr>
        <w:ind w:left="332" w:hanging="332"/>
        <w:spacing w:after="0"/>
        <w:tabs>
          <w:tab w:leader="none" w:pos="332"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become effective upon execution by all Parties and shall terminate when all equity interests in Party C held by Party B and all assets of Party C have been lawfully transferred to Party A and/or its designated Person(s)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79" w:name="page480"/>
    <w:bookmarkEnd w:id="479"/>
    <w:p>
      <w:pPr>
        <w:ind w:left="340" w:right="6540" w:hanging="332"/>
        <w:spacing w:after="0" w:line="503" w:lineRule="auto"/>
        <w:tabs>
          <w:tab w:leader="none" w:pos="34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Governing Law and Dispute Resolution </w:t>
      </w: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Governing Law</w:t>
      </w: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execution, validity, interpretation, performance, amendment and termination of this Agreement and the resolution of any disputes hereunder shall be governed by the PRC laws.</w:t>
      </w:r>
    </w:p>
    <w:p>
      <w:pPr>
        <w:spacing w:after="0" w:line="16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Dispute Resolution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Any dispute arising from the interpretation or performance of this Agreement shall first be resolved through friendly consultation among the Parties. If the dispute cannot be resolved within thirty (30) days after one Party delivers a written notice requesting consultation, any Party may submit such dispute to the China International Economic and Trade Arbitration Commission (“CIETAC”) for arbitration in accordance with its arbitration rules.</w:t>
      </w:r>
    </w:p>
    <w:p>
      <w:pPr>
        <w:spacing w:after="0" w:line="176" w:lineRule="exact"/>
        <w:rPr>
          <w:sz w:val="20"/>
          <w:szCs w:val="20"/>
          <w:color w:val="auto"/>
        </w:rPr>
      </w:pPr>
    </w:p>
    <w:p>
      <w:pPr>
        <w:ind w:left="340" w:hanging="332"/>
        <w:spacing w:after="0"/>
        <w:tabs>
          <w:tab w:leader="none" w:pos="34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Expenses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shall bear any and all transfer and registration taxes, costs and expenses incurred by or imposed upon the Parties in connection with the preparation and execution of this Agreement and each Transfer Agreement and the consummation of the transactions contemplated under this Agreement and each Transfer Agreement in accordance with PRC laws.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left="980" w:right="2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620" w:right="20" w:hanging="647"/>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7.1.1.</w:t>
        <w:tab/>
        <w:t>If delivered by hand, courier service or registered mail (postage prepaid), the date of receipt or rejection at the designated address shall be deemed the effective delivery date;</w:t>
      </w:r>
    </w:p>
    <w:p>
      <w:pPr>
        <w:spacing w:after="0" w:line="162" w:lineRule="exact"/>
        <w:rPr>
          <w:sz w:val="20"/>
          <w:szCs w:val="20"/>
          <w:color w:val="auto"/>
        </w:rPr>
      </w:pPr>
    </w:p>
    <w:p>
      <w:pPr>
        <w:ind w:left="1620" w:hanging="647"/>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7.1.2.</w:t>
        <w:tab/>
        <w:t>If delivered by facsimile, the date of successful transmission (as evidenced by the automatically generated transmission confirmation) shall be deemed the effective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80" w:name="page481"/>
    <w:bookmarkEnd w:id="480"/>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Addresses for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Party A:</w:t>
      </w:r>
    </w:p>
    <w:p>
      <w:pPr>
        <w:spacing w:after="0" w:line="63" w:lineRule="exact"/>
        <w:rPr>
          <w:sz w:val="20"/>
          <w:szCs w:val="20"/>
          <w:color w:val="auto"/>
        </w:rPr>
      </w:pPr>
    </w:p>
    <w:p>
      <w:pPr>
        <w:ind w:left="980"/>
        <w:spacing w:after="0" w:line="281" w:lineRule="auto"/>
        <w:rPr>
          <w:sz w:val="20"/>
          <w:szCs w:val="20"/>
          <w:color w:val="auto"/>
        </w:rPr>
      </w:pPr>
      <w:r>
        <w:rPr>
          <w:rFonts w:ascii="Times New Roman" w:cs="Times New Roman" w:eastAsia="Times New Roman" w:hAnsi="Times New Roman"/>
          <w:sz w:val="18"/>
          <w:szCs w:val="18"/>
          <w:color w:val="auto"/>
        </w:rPr>
        <w:t>Address: [Room 0610-E12, Port Building, Maritime Center, No. 59 Linhai Avenue, Nanshan Subdistrict, Qianhai Shenzhen-Hongkong Modern Service Industry Cooperation Zone, Shenzhen]</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[Wu Kening]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Party B:</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[Room 310-4-608, Science Park South Third Zone, Olympic Village Subdistrict, Chaoyang District, Beijing]</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[Li Xiaosong]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Party C:</w:t>
      </w:r>
    </w:p>
    <w:p>
      <w:pPr>
        <w:spacing w:after="0" w:line="63" w:lineRule="exact"/>
        <w:rPr>
          <w:sz w:val="20"/>
          <w:szCs w:val="20"/>
          <w:color w:val="auto"/>
        </w:rPr>
      </w:pPr>
    </w:p>
    <w:p>
      <w:pPr>
        <w:ind w:left="980"/>
        <w:spacing w:after="0" w:line="281" w:lineRule="auto"/>
        <w:rPr>
          <w:sz w:val="20"/>
          <w:szCs w:val="20"/>
          <w:color w:val="auto"/>
        </w:rPr>
      </w:pPr>
      <w:r>
        <w:rPr>
          <w:rFonts w:ascii="Times New Roman" w:cs="Times New Roman" w:eastAsia="Times New Roman" w:hAnsi="Times New Roman"/>
          <w:sz w:val="18"/>
          <w:szCs w:val="18"/>
          <w:color w:val="auto"/>
        </w:rPr>
        <w:t>Address: [Room 1374A, Guoxin Investment Building, No. 07 Gaoxin South 7th Road, High-Tech Zone Community, Yuehai Subdistrict, Nanshan District, Shenzhen]</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[Wu Kening]</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Any Party may change its address for notice by delivering notice to the other Parties in accordance with this Section.</w:t>
      </w:r>
    </w:p>
    <w:p>
      <w:pPr>
        <w:spacing w:after="0" w:line="221" w:lineRule="exact"/>
        <w:rPr>
          <w:sz w:val="20"/>
          <w:szCs w:val="20"/>
          <w:color w:val="auto"/>
        </w:rPr>
      </w:pPr>
    </w:p>
    <w:p>
      <w:pPr>
        <w:ind w:left="340" w:hanging="332"/>
        <w:spacing w:after="0"/>
        <w:tabs>
          <w:tab w:leader="none" w:pos="34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Party,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1" w:name="page482"/>
    <w:bookmarkEnd w:id="481"/>
    <w:p>
      <w:pPr>
        <w:ind w:left="340" w:right="20"/>
        <w:spacing w:after="0" w:line="282" w:lineRule="auto"/>
        <w:rPr>
          <w:sz w:val="20"/>
          <w:szCs w:val="20"/>
          <w:color w:val="auto"/>
        </w:rPr>
      </w:pPr>
      <w:r>
        <w:rPr>
          <w:rFonts w:ascii="Times New Roman" w:cs="Times New Roman" w:eastAsia="Times New Roman" w:hAnsi="Times New Roman"/>
          <w:sz w:val="18"/>
          <w:szCs w:val="18"/>
          <w:color w:val="auto"/>
        </w:rPr>
        <w:t>herein. Any breach of confidentiality by a Party’s shareholders, directors, employees or engaged institutions shall be deemed a breach by such Party, which shall bear liability for breach in accordance with this Agreement.</w:t>
      </w:r>
    </w:p>
    <w:p>
      <w:pPr>
        <w:spacing w:after="0" w:line="158" w:lineRule="exact"/>
        <w:rPr>
          <w:sz w:val="20"/>
          <w:szCs w:val="20"/>
          <w:color w:val="auto"/>
        </w:rPr>
      </w:pPr>
    </w:p>
    <w:p>
      <w:pPr>
        <w:ind w:left="340" w:hanging="332"/>
        <w:spacing w:after="0"/>
        <w:tabs>
          <w:tab w:leader="none" w:pos="3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promptly execute all documents and take all further actions reasonably necessary or desirable to carry out the provisions and purposes of this Agreement.</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Subject to Section 10.3, if Party B or Party C materially breaches any provision of this Agreement, Party A shall have the right to terminate this Agreement and/or require Party B or Party C to compensate for damages. Subject to Section 10.3, this Section 10 shall not prejudice any other rights of Party A under this Agreement.</w:t>
      </w:r>
    </w:p>
    <w:p>
      <w:pPr>
        <w:spacing w:after="0" w:line="175"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Except as otherwise required by applicable laws, Party B or Party C shall not have any right to terminate or rescind this Agreement under any circumstances.</w:t>
      </w:r>
    </w:p>
    <w:p>
      <w:pPr>
        <w:spacing w:after="0" w:line="161" w:lineRule="exact"/>
        <w:rPr>
          <w:rFonts w:ascii="Times New Roman" w:cs="Times New Roman" w:eastAsia="Times New Roman" w:hAnsi="Times New Roman"/>
          <w:sz w:val="18"/>
          <w:szCs w:val="18"/>
          <w:b w:val="1"/>
          <w:bCs w:val="1"/>
          <w:color w:val="auto"/>
        </w:rPr>
      </w:pPr>
    </w:p>
    <w:p>
      <w:pPr>
        <w:ind w:left="98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Notwithstanding any contrary provision in this Agreement, the Party B Equity Pledge Agreement, the Party B Power of Attorney, any other Transaction Document (as defined in the Party B Equity Pledge Agreement), or any applicable law, in the event of any breach by Party B of any representation, warranty, covenant, undertaking, agreement or condition under this Agreement, the Party B Equity Pledge Agreement, the Party B Power of Attorney or any other Transaction Document, Party A’s sole remedy shall be limited to exercising its pledge rights over the equity interests in Party C held by Party B pursuant to Section 8 of the Party B Equity Pledge Agreement, and Party B shall not bear any compensation or other liability to Party A or any other Person.</w:t>
      </w:r>
    </w:p>
    <w:p>
      <w:pPr>
        <w:spacing w:after="0" w:line="18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 Modification and Supplement</w:t>
      </w:r>
    </w:p>
    <w:p>
      <w:pPr>
        <w:spacing w:after="0" w:line="22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modification or supplement to this Agreement shall be made in writing and signed by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2" w:name="page483"/>
    <w:bookmarkEnd w:id="482"/>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Entire Agreement</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Except for any written amendment, supplement or modification executed after the date hereof, this Agreement constitutes the entire agreement among the Parties with respect to the subject matter hereof and supersedes all prior oral or written negotiations, representations and agreements relating thereto.</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for convenience of reference only and shall not affect the interpretation of any provision hereof.</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Language</w:t>
      </w:r>
    </w:p>
    <w:p>
      <w:pPr>
        <w:spacing w:after="0" w:line="225"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color w:val="auto"/>
        </w:rPr>
        <w:t>This Agreement is executed in three (3) originals, with each Party holding one original, and each original shall have equal legal effect.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u w:val="single" w:color="auto"/>
          <w:color w:val="auto"/>
        </w:rPr>
        <w:t>Severability</w:t>
      </w:r>
    </w:p>
    <w:p>
      <w:pPr>
        <w:spacing w:after="0" w:line="22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u w:val="single" w:color="auto"/>
          <w:color w:val="auto"/>
        </w:rPr>
        <w:t>Successors</w:t>
      </w:r>
    </w:p>
    <w:p>
      <w:pPr>
        <w:spacing w:after="0" w:line="225"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respective successors and permitted assigns of the Parties.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Survival</w:t>
      </w:r>
    </w:p>
    <w:p>
      <w:pPr>
        <w:spacing w:after="0" w:line="225" w:lineRule="exact"/>
        <w:rPr>
          <w:sz w:val="20"/>
          <w:szCs w:val="20"/>
          <w:color w:val="auto"/>
        </w:rPr>
      </w:pPr>
    </w:p>
    <w:p>
      <w:pPr>
        <w:jc w:val="both"/>
        <w:ind w:left="12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11.7.1.</w:t>
        <w:tab/>
        <w:t>Any obligations incurred or accrued under this Agreement prior to expiration or early termination shall survive such expiration or termination.</w:t>
      </w:r>
    </w:p>
    <w:p>
      <w:pPr>
        <w:spacing w:after="0" w:line="16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11.7.2.</w:t>
        <w:tab/>
        <w:t>The provisions of Sections 5, 8, 10 and this Section 11.7 shall survive the termination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877" w:right="999" w:bottom="1440" w:gutter="0" w:footer="0" w:header="0"/>
        </w:sectPr>
      </w:pPr>
    </w:p>
    <w:bookmarkStart w:id="483" w:name="page484"/>
    <w:bookmarkEnd w:id="483"/>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Any waiver of the terms and conditions of this Agreement must be made in writing and signed by all Parties. A waiver by any Party of a breach by another Party in a particular circumstance shall not be deemed a waiver of any similar breach in any other circumstance.</w:t>
      </w:r>
    </w:p>
    <w:p>
      <w:pPr>
        <w:spacing w:after="0" w:line="17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84" w:name="page485"/>
    <w:bookmarkEnd w:id="484"/>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Kening Wu</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Kening Wu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5" w:name="page486"/>
    <w:bookmarkEnd w:id="485"/>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Xiaosong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 Xiaosong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30429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6" w:name="page487"/>
    <w:bookmarkEnd w:id="486"/>
    <w:p>
      <w:pPr>
        <w:ind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Kening Wu</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Wu Kening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7" w:name="page488"/>
    <w:bookmarkEnd w:id="487"/>
    <w:p>
      <w:pPr>
        <w:jc w:val="center"/>
        <w:ind w:right="19"/>
        <w:spacing w:after="0"/>
        <w:rPr>
          <w:sz w:val="20"/>
          <w:szCs w:val="20"/>
          <w:color w:val="auto"/>
        </w:rPr>
      </w:pPr>
      <w:r>
        <w:rPr>
          <w:rFonts w:ascii="Times New Roman" w:cs="Times New Roman" w:eastAsia="Times New Roman" w:hAnsi="Times New Roman"/>
          <w:sz w:val="18"/>
          <w:szCs w:val="18"/>
          <w:color w:val="auto"/>
        </w:rPr>
        <w:t>Annex 1 Equity Transfer Agreement</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488" w:name="page489"/>
    <w:bookmarkEnd w:id="488"/>
    <w:p>
      <w:pPr>
        <w:jc w:val="center"/>
        <w:spacing w:after="0"/>
        <w:rPr>
          <w:sz w:val="20"/>
          <w:szCs w:val="20"/>
          <w:color w:val="auto"/>
        </w:rPr>
      </w:pPr>
      <w:r>
        <w:rPr>
          <w:rFonts w:ascii="Times New Roman" w:cs="Times New Roman" w:eastAsia="Times New Roman" w:hAnsi="Times New Roman"/>
          <w:sz w:val="17"/>
          <w:szCs w:val="17"/>
          <w:color w:val="auto"/>
        </w:rPr>
        <w:t>Annex 1 Representations and Warranties</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489" w:name="page490"/>
    <w:bookmarkEnd w:id="489"/>
    <w:p>
      <w:pPr>
        <w:jc w:val="right"/>
        <w:spacing w:after="0"/>
        <w:rPr>
          <w:sz w:val="20"/>
          <w:szCs w:val="20"/>
          <w:color w:val="auto"/>
        </w:rPr>
      </w:pPr>
      <w:r>
        <w:rPr>
          <w:rFonts w:ascii="Times New Roman" w:cs="Times New Roman" w:eastAsia="Times New Roman" w:hAnsi="Times New Roman"/>
          <w:sz w:val="18"/>
          <w:szCs w:val="18"/>
          <w:b w:val="1"/>
          <w:bCs w:val="1"/>
          <w:color w:val="auto"/>
        </w:rPr>
        <w:t>Exhibit 4.38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Exclusive Option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[February 27], 2025 in [Shenzhen], the People’s Republic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 the following parties:</w:t>
      </w:r>
    </w:p>
    <w:p>
      <w:pPr>
        <w:spacing w:after="0" w:line="203" w:lineRule="exact"/>
        <w:rPr>
          <w:sz w:val="20"/>
          <w:szCs w:val="20"/>
          <w:color w:val="auto"/>
        </w:rPr>
      </w:pPr>
    </w:p>
    <w:p>
      <w:pPr>
        <w:jc w:val="both"/>
        <w:ind w:left="660" w:right="2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a wholly foreign-owned enterprise duly established and validly existing under the PRC laws, with its address at Room 0610-E12, Port Building, Maritime Center, No. 59 Linhai Avenue, Nanshan Subdistrict, Qianhai Shenzhen-Hongkong Modern Service Industry Cooperation Zone, Shenzhen;</w:t>
      </w:r>
    </w:p>
    <w:p>
      <w:pPr>
        <w:spacing w:after="0" w:line="171" w:lineRule="exact"/>
        <w:rPr>
          <w:sz w:val="20"/>
          <w:szCs w:val="20"/>
          <w:color w:val="auto"/>
        </w:rPr>
      </w:pPr>
    </w:p>
    <w:p>
      <w:pPr>
        <w:jc w:val="both"/>
        <w:ind w:left="660" w:right="20" w:hanging="647"/>
        <w:spacing w:after="0" w:line="286" w:lineRule="auto"/>
        <w:rPr>
          <w:sz w:val="20"/>
          <w:szCs w:val="20"/>
          <w:color w:val="auto"/>
        </w:rPr>
      </w:pPr>
      <w:r>
        <w:rPr>
          <w:rFonts w:ascii="Times New Roman" w:cs="Times New Roman" w:eastAsia="Times New Roman" w:hAnsi="Times New Roman"/>
          <w:sz w:val="18"/>
          <w:szCs w:val="18"/>
          <w:color w:val="auto"/>
        </w:rPr>
        <w:t xml:space="preserve">Party B: </w:t>
      </w:r>
      <w:r>
        <w:rPr>
          <w:rFonts w:ascii="Times New Roman" w:cs="Times New Roman" w:eastAsia="Times New Roman" w:hAnsi="Times New Roman"/>
          <w:sz w:val="18"/>
          <w:szCs w:val="18"/>
          <w:b w:val="1"/>
          <w:bCs w:val="1"/>
          <w:color w:val="auto"/>
        </w:rPr>
        <w:t>Wu Kening</w:t>
      </w:r>
      <w:r>
        <w:rPr>
          <w:rFonts w:ascii="Times New Roman" w:cs="Times New Roman" w:eastAsia="Times New Roman" w:hAnsi="Times New Roman"/>
          <w:sz w:val="18"/>
          <w:szCs w:val="18"/>
          <w:color w:val="auto"/>
        </w:rPr>
        <w:t>, a PRC citizen, ID No. ******************, residing at [Room 2-2-501, Fenggang Garden, No. 22 Jinhu Road, Luohu District, Shenzhen]; and</w:t>
      </w:r>
    </w:p>
    <w:p>
      <w:pPr>
        <w:spacing w:after="0" w:line="15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C: </w:t>
      </w:r>
      <w:r>
        <w:rPr>
          <w:rFonts w:ascii="Times New Roman" w:cs="Times New Roman" w:eastAsia="Times New Roman" w:hAnsi="Times New Roman"/>
          <w:sz w:val="18"/>
          <w:szCs w:val="18"/>
          <w:b w:val="1"/>
          <w:bCs w:val="1"/>
          <w:color w:val="auto"/>
        </w:rPr>
        <w:t>Shenzhen Zhilue Xinsi Consulting Co., Ltd.</w:t>
      </w:r>
      <w:r>
        <w:rPr>
          <w:rFonts w:ascii="Times New Roman" w:cs="Times New Roman" w:eastAsia="Times New Roman" w:hAnsi="Times New Roman"/>
          <w:sz w:val="18"/>
          <w:szCs w:val="18"/>
          <w:color w:val="auto"/>
        </w:rPr>
        <w:t>, a limited liability company duly established and validly existing under the PRC laws, with its address at Room 1374A, Guoxin Investment Building, No. 07 Gaoxin South 7th Road, High-Tech Zone Community, Yuehai Subdistrict, Nanshan District, Shenzhen.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Party B, and Party C are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340" w:hanging="332"/>
        <w:spacing w:after="0" w:line="282"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shareholder of Party C. As of the date of this Agreement, Party B holds [60]% of the equity interest in Party C, representing registered capital of RMB [60,000].</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pursuant to this Agreement, to grant Party A an exclusive right to purchase all or part of the equity interest in Party C held by Party B at such time.</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ind w:left="340" w:right="5640" w:hanging="332"/>
        <w:spacing w:after="0" w:line="537" w:lineRule="auto"/>
        <w:tabs>
          <w:tab w:leader="none" w:pos="34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Grant of Equity Option and Asset Purchase Option </w:t>
      </w:r>
      <w:r>
        <w:rPr>
          <w:rFonts w:ascii="Times New Roman" w:cs="Times New Roman" w:eastAsia="Times New Roman" w:hAnsi="Times New Roman"/>
          <w:sz w:val="18"/>
          <w:szCs w:val="18"/>
          <w:color w:val="auto"/>
        </w:rPr>
        <w:t>1.1. Equity Purchase Option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0" w:name="page491"/>
    <w:bookmarkEnd w:id="490"/>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Party B hereby irrevocably grants Party A a proprietary right, to the extent permitted under PRC laws, exercisable in accordance with the steps determined by Party A at its sole discretion and at the price set forth in Section 1.3, to purchase from Party B, or designate one or more persons (“</w:t>
      </w:r>
      <w:r>
        <w:rPr>
          <w:rFonts w:ascii="Times New Roman" w:cs="Times New Roman" w:eastAsia="Times New Roman" w:hAnsi="Times New Roman"/>
          <w:sz w:val="18"/>
          <w:szCs w:val="18"/>
          <w:b w:val="1"/>
          <w:bCs w:val="1"/>
          <w:color w:val="auto"/>
        </w:rPr>
        <w:t>Designee(s)</w:t>
      </w:r>
      <w:r>
        <w:rPr>
          <w:rFonts w:ascii="Times New Roman" w:cs="Times New Roman" w:eastAsia="Times New Roman" w:hAnsi="Times New Roman"/>
          <w:sz w:val="18"/>
          <w:szCs w:val="18"/>
          <w:color w:val="auto"/>
        </w:rPr>
        <w:t>”) to purchase, at any time and from time to time, all or part of the equity interest in Party C then held by Party B (“</w:t>
      </w:r>
      <w:r>
        <w:rPr>
          <w:rFonts w:ascii="Times New Roman" w:cs="Times New Roman" w:eastAsia="Times New Roman" w:hAnsi="Times New Roman"/>
          <w:sz w:val="18"/>
          <w:szCs w:val="18"/>
          <w:b w:val="1"/>
          <w:bCs w:val="1"/>
          <w:color w:val="auto"/>
        </w:rPr>
        <w:t>Equity Purchase Option</w:t>
      </w:r>
      <w:r>
        <w:rPr>
          <w:rFonts w:ascii="Times New Roman" w:cs="Times New Roman" w:eastAsia="Times New Roman" w:hAnsi="Times New Roman"/>
          <w:sz w:val="18"/>
          <w:szCs w:val="18"/>
          <w:color w:val="auto"/>
        </w:rPr>
        <w:t>”). Except for Party A and the Designee(s), no other Person shall be entitled to the Equity Purchase Option or any other rights with respect to the equity interest held by Party B. Party C hereby consents to Party B granting the Equity Purchase Option to Party A. For purposes of this Agreement, “Person” means any individual, company, joint venture, partnership, enterprise, trust or non-corporate organization.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Procedures</w:t>
      </w:r>
    </w:p>
    <w:p>
      <w:pPr>
        <w:spacing w:after="0" w:line="225"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Party A’s exercise of the Equity Purchase Option shall be subject to compliance with applicable PRC laws and regulations. Upon exercising the Equity Purchase Option, Party A shall deliver a written notice (“</w:t>
      </w:r>
      <w:r>
        <w:rPr>
          <w:rFonts w:ascii="Times New Roman" w:cs="Times New Roman" w:eastAsia="Times New Roman" w:hAnsi="Times New Roman"/>
          <w:sz w:val="18"/>
          <w:szCs w:val="18"/>
          <w:b w:val="1"/>
          <w:bCs w:val="1"/>
          <w:color w:val="auto"/>
        </w:rPr>
        <w:t>Equity Purchase Notice</w:t>
      </w:r>
      <w:r>
        <w:rPr>
          <w:rFonts w:ascii="Times New Roman" w:cs="Times New Roman" w:eastAsia="Times New Roman" w:hAnsi="Times New Roman"/>
          <w:sz w:val="18"/>
          <w:szCs w:val="18"/>
          <w:color w:val="auto"/>
        </w:rPr>
        <w:t>”) to Party B, specifying: (a) Party A’s or the Designee’s decision to exercise the Equity Purchase Option; (b) the equity interest to be purchased from Party B (“</w:t>
      </w:r>
      <w:r>
        <w:rPr>
          <w:rFonts w:ascii="Times New Roman" w:cs="Times New Roman" w:eastAsia="Times New Roman" w:hAnsi="Times New Roman"/>
          <w:sz w:val="18"/>
          <w:szCs w:val="18"/>
          <w:b w:val="1"/>
          <w:bCs w:val="1"/>
          <w:color w:val="auto"/>
        </w:rPr>
        <w:t>Purchased Equity</w:t>
      </w:r>
      <w:r>
        <w:rPr>
          <w:rFonts w:ascii="Times New Roman" w:cs="Times New Roman" w:eastAsia="Times New Roman" w:hAnsi="Times New Roman"/>
          <w:sz w:val="18"/>
          <w:szCs w:val="18"/>
          <w:color w:val="auto"/>
        </w:rPr>
        <w:t>”); and (c) the purchase date/transfer date of the Purchased Equity.</w:t>
      </w:r>
    </w:p>
    <w:p>
      <w:pPr>
        <w:spacing w:after="0" w:line="180"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Within five (5) business days after Party A exercises the Equity Purchase Option and delivers the written notice to Party B, Party B shall cooperate in executing an equity transfer agreement in the form attached hereto as Annex 1 and shall cooperate in completing the relevant registration of change with the competent registration authority. For the avoidance of doubt, provided that the relevant equity transfer agreement complies with applicable laws and the provisions relating to the Equity Purchase Option under this Agreement, Party A shall have the right to make reasonable revisions to the version of such equity transfer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Equity Purchase Price</w:t>
      </w:r>
    </w:p>
    <w:p>
      <w:pPr>
        <w:spacing w:after="0" w:line="221" w:lineRule="exact"/>
        <w:rPr>
          <w:sz w:val="20"/>
          <w:szCs w:val="20"/>
          <w:color w:val="auto"/>
        </w:rPr>
      </w:pPr>
    </w:p>
    <w:p>
      <w:pPr>
        <w:jc w:val="both"/>
        <w:ind w:left="320" w:right="20"/>
        <w:spacing w:after="0" w:line="286" w:lineRule="auto"/>
        <w:rPr>
          <w:sz w:val="20"/>
          <w:szCs w:val="20"/>
          <w:color w:val="auto"/>
        </w:rPr>
      </w:pPr>
      <w:r>
        <w:rPr>
          <w:rFonts w:ascii="Times New Roman" w:cs="Times New Roman" w:eastAsia="Times New Roman" w:hAnsi="Times New Roman"/>
          <w:sz w:val="18"/>
          <w:szCs w:val="18"/>
          <w:color w:val="auto"/>
        </w:rPr>
        <w:t>The purchase price for the Purchased Equity (“</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shall be RMB 1. If the lowest price permitted under PRC laws at the time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91" w:name="page492"/>
    <w:bookmarkEnd w:id="491"/>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exceeds the Base Purchase Price, the transfer price shall be the lowest price permitted under PRC laws (collectively, “</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Subject to Party C having fulfilled its obligations under Section 6 of this Agreement, all Equity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received by Party B from the transfer of the Purchased Equity, as well as any other proceeds received by Party B in connection with such transfer, shall be used to repay the loans (if any) extended by Party A to Party B immediately upon receipt. Any remaining balance after repayment of such loans shall be transferred to Party A or the Designee(s) without consideration. For the avoidance of doubt, the Equity Purchase Price payable to Party A or the Designee(s) shall be net of: (i) any capital contribution paid by Party B to Party C using Party B’s own funds (excluding loans provided by Party A to Party B for the purpose of capital increase in Party C); and (ii) any taxes, costs and expenses already paid by Party B in connection with the preparation and execution of this Agreement and each transfer agreement (as defined below) and the consummation of the transactions contemplated hereby and thereby.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Transfer of Purchased Equity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time Party A exercises the Equity Purchase Option:</w:t>
      </w:r>
    </w:p>
    <w:p>
      <w:pPr>
        <w:spacing w:after="0" w:line="225" w:lineRule="exact"/>
        <w:rPr>
          <w:sz w:val="20"/>
          <w:szCs w:val="20"/>
          <w:color w:val="auto"/>
        </w:rPr>
      </w:pPr>
    </w:p>
    <w:p>
      <w:pPr>
        <w:jc w:val="both"/>
        <w:ind w:left="960" w:right="2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1.4.1.</w:t>
        <w:tab/>
        <w:t>Party C shall promptly convene a shareholders’ meeting at which a resolution approving the transfer of the Purchased Equity by Party B to Party A and/or the Designee(s) shall be adopted;</w:t>
      </w:r>
    </w:p>
    <w:p>
      <w:pPr>
        <w:spacing w:after="0" w:line="162" w:lineRule="exact"/>
        <w:rPr>
          <w:sz w:val="20"/>
          <w:szCs w:val="20"/>
          <w:color w:val="auto"/>
        </w:rPr>
      </w:pPr>
    </w:p>
    <w:p>
      <w:pPr>
        <w:jc w:val="both"/>
        <w:ind w:left="960" w:right="2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1.4.2.</w:t>
        <w:tab/>
        <w:t>Party C shall procure written consent from its other shareholders approving the transfer of the Purchased Equity by Party B to Party A and/or the Designee(s) and waiving any pre-emptive rights;</w:t>
      </w:r>
    </w:p>
    <w:p>
      <w:pPr>
        <w:spacing w:after="0" w:line="162" w:lineRule="exact"/>
        <w:rPr>
          <w:sz w:val="20"/>
          <w:szCs w:val="20"/>
          <w:color w:val="auto"/>
        </w:rPr>
      </w:pPr>
    </w:p>
    <w:p>
      <w:pPr>
        <w:jc w:val="both"/>
        <w:ind w:left="960" w:right="2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1.4.3.</w:t>
        <w:tab/>
        <w:t>Party B shall execute, with Party A and/or the Designee(s) (as applicable), an equity transfer agreement in the form attached hereto as Annex 1 for each transfer in accordance with this Agreement and the Equity Purchase Notice;</w:t>
      </w:r>
    </w:p>
    <w:p>
      <w:pPr>
        <w:spacing w:after="0" w:line="162" w:lineRule="exact"/>
        <w:rPr>
          <w:sz w:val="20"/>
          <w:szCs w:val="20"/>
          <w:color w:val="auto"/>
        </w:rPr>
      </w:pPr>
    </w:p>
    <w:p>
      <w:pPr>
        <w:jc w:val="both"/>
        <w:ind w:left="960" w:hanging="647"/>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1.4.4.</w:t>
        <w:tab/>
        <w:t>The relevant parties shall execute all other necessary contracts, agreements or documents, obtain all required governmental approvals and consents, and take all necessary actions to transfer good and valid title to the Purchased Equity to Party A and/or the Designee(s),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7" w:right="999" w:bottom="1440" w:gutter="0" w:footer="0" w:header="0"/>
        </w:sectPr>
      </w:pPr>
    </w:p>
    <w:bookmarkStart w:id="492" w:name="page493"/>
    <w:bookmarkEnd w:id="492"/>
    <w:p>
      <w:pPr>
        <w:jc w:val="both"/>
        <w:ind w:left="1292"/>
        <w:spacing w:after="0" w:line="253" w:lineRule="auto"/>
        <w:rPr>
          <w:sz w:val="20"/>
          <w:szCs w:val="20"/>
          <w:color w:val="auto"/>
        </w:rPr>
      </w:pPr>
      <w:r>
        <w:rPr>
          <w:rFonts w:ascii="Times New Roman" w:cs="Times New Roman" w:eastAsia="Times New Roman" w:hAnsi="Times New Roman"/>
          <w:sz w:val="18"/>
          <w:szCs w:val="18"/>
          <w:color w:val="auto"/>
        </w:rPr>
        <w:t>and clear of any Security Interest, and cause Party A and/or the Designee(s) to be registered as the holder(s) of the Purchased Equity. For purposes of this Section and this Agreement, “Security Interest” includes any guarantee, mortgage, pledge, third-party right or interest, option, right of acquisition, right of first refusal, right of set-off, title retention arrangement or any other security arrangement; provided, however, for the avoidance of doubt, that any Security Interest arising under this Agreement, the Party B Equity Pledge Agreement and the Party B Power of Attorney shall not be included. For purposes of this Agreement, the “Party B Equity Pledge Agreement” refers to the Equity Pledge Agreement entered into by Party A, Party B and Party C on [February 27], 2025, including any amendments, supplements or restatements thereto; and the “Party B Power of Attorney” refers to the power of attorney executed by Party B in favor of Party A on [February 27], 2025, including any amendments, supplements or restatements thereto.</w:t>
      </w:r>
    </w:p>
    <w:p>
      <w:pPr>
        <w:spacing w:after="0" w:line="19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1.5. Asset Purchase Option</w:t>
      </w:r>
    </w:p>
    <w:p>
      <w:pPr>
        <w:spacing w:after="0" w:line="225"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Party C hereby grants Party A an irrevocable and exclusive option, to the extent permitted under PRC laws and regulations, exercisable at Party A’s sole discretion and in accordance with procedures determined by Party A, to purchase, or designate the Designee(s) to purchase, at any time, all or part of the assets of Party C at the lowest price permitted under PRC laws. At such time, Party A or the Designee(s) and Party C shall enter into a separate asset transfer agreement to set forth the terms and conditions of such asset transfer.</w:t>
      </w:r>
    </w:p>
    <w:p>
      <w:pPr>
        <w:spacing w:after="0" w:line="179" w:lineRule="exact"/>
        <w:rPr>
          <w:sz w:val="20"/>
          <w:szCs w:val="20"/>
          <w:color w:val="auto"/>
        </w:rPr>
      </w:pPr>
    </w:p>
    <w:p>
      <w:pPr>
        <w:ind w:left="332" w:hanging="332"/>
        <w:spacing w:after="0"/>
        <w:tabs>
          <w:tab w:leader="none" w:pos="332"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Covenants of Party C</w:t>
      </w:r>
    </w:p>
    <w:p>
      <w:pPr>
        <w:spacing w:after="0" w:line="22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hereby covenants as follows:</w:t>
      </w:r>
    </w:p>
    <w:p>
      <w:pPr>
        <w:spacing w:after="0" w:line="225" w:lineRule="exact"/>
        <w:rPr>
          <w:sz w:val="20"/>
          <w:szCs w:val="20"/>
          <w:color w:val="auto"/>
        </w:rPr>
      </w:pPr>
    </w:p>
    <w:p>
      <w:pPr>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2.1.1.</w:t>
        <w:tab/>
        <w:t>Without the prior written consent of Party A, Party C shall not, in any manner, supplement, amend or modify its constitutional documents, increase or decrease its registered capital, or otherwise alter its capital structure;</w:t>
      </w:r>
    </w:p>
    <w:p>
      <w:pPr>
        <w:spacing w:after="0" w:line="162"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2.1.2.</w:t>
        <w:tab/>
        <w:t>Party C shall maintain its corporate existence in accordance with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93" w:name="page494"/>
    <w:bookmarkEnd w:id="493"/>
    <w:p>
      <w:pPr>
        <w:ind w:left="840" w:right="20"/>
        <w:spacing w:after="0" w:line="282" w:lineRule="auto"/>
        <w:rPr>
          <w:sz w:val="20"/>
          <w:szCs w:val="20"/>
          <w:color w:val="auto"/>
        </w:rPr>
      </w:pPr>
      <w:r>
        <w:rPr>
          <w:rFonts w:ascii="Times New Roman" w:cs="Times New Roman" w:eastAsia="Times New Roman" w:hAnsi="Times New Roman"/>
          <w:sz w:val="18"/>
          <w:szCs w:val="18"/>
          <w:color w:val="auto"/>
        </w:rPr>
        <w:t>financial and business standards and practices, obtain and maintain all governmental approvals, permits and licenses necessary for its business operations, and operate its business and manage its affairs prudently and effectively;</w:t>
      </w:r>
    </w:p>
    <w:p>
      <w:pPr>
        <w:spacing w:after="0" w:line="162"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2.1.3.</w:t>
        <w:tab/>
        <w:t>Without the prior written consent of Party A, Party C shall not, at any time from the date hereof, sell, transfer, mortgage or otherwise dispose of any material asset, business or lawful or beneficial interest in its revenue, nor permit any Security Interest to be created thereon;</w:t>
      </w:r>
    </w:p>
    <w:p>
      <w:pPr>
        <w:spacing w:after="0" w:line="176" w:lineRule="exact"/>
        <w:rPr>
          <w:sz w:val="20"/>
          <w:szCs w:val="20"/>
          <w:color w:val="auto"/>
        </w:rPr>
      </w:pPr>
    </w:p>
    <w:p>
      <w:pPr>
        <w:jc w:val="both"/>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2.1.4.</w:t>
        <w:tab/>
        <w:t>Without the prior written consent of Party A, Party C shall not incur, assume, guarantee or permit the existence of any indebtedness, except for accounts payable incurred in the ordinary course of business other than through borrowings;</w:t>
      </w:r>
    </w:p>
    <w:p>
      <w:pPr>
        <w:spacing w:after="0" w:line="162" w:lineRule="exact"/>
        <w:rPr>
          <w:sz w:val="20"/>
          <w:szCs w:val="20"/>
          <w:color w:val="auto"/>
        </w:rPr>
      </w:pPr>
    </w:p>
    <w:p>
      <w:pPr>
        <w:jc w:val="both"/>
        <w:ind w:left="840" w:right="2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2.1.5.</w:t>
        <w:tab/>
        <w:t>Party C shall conduct all of its business in the ordinary course of business so as to maintain the value of its assets and shall not take or omit to take any action that may materially affect its operating condition or asset value;</w:t>
      </w:r>
    </w:p>
    <w:p>
      <w:pPr>
        <w:spacing w:after="0" w:line="162"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2.1.6.</w:t>
        <w:tab/>
        <w:t>Without the prior written consent of Party A, Party C shall not enter into any material contract, except for contracts entered into in the ordinary course of business (for purposes of this paragraph, any contract with a total amount exceeding RMB 50,000 shall be deemed a material contract);</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provide any loan or credit to any Person;</w:t>
      </w:r>
    </w:p>
    <w:p>
      <w:pPr>
        <w:spacing w:after="0" w:line="225" w:lineRule="exact"/>
        <w:rPr>
          <w:sz w:val="20"/>
          <w:szCs w:val="20"/>
          <w:color w:val="auto"/>
        </w:rPr>
      </w:pPr>
    </w:p>
    <w:p>
      <w:pPr>
        <w:jc w:val="both"/>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2.1.8.</w:t>
        <w:tab/>
        <w:t>Upon request of Party A, Party C shall provide Party A with all information relating to the operations and financial condition of Party C;</w:t>
      </w:r>
    </w:p>
    <w:p>
      <w:pPr>
        <w:spacing w:after="0" w:line="162"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2.1.9.</w:t>
        <w:tab/>
        <w:t>At the request of Party A, Party C shall procure and maintain insurance covering its assets and business with an insurance carrier acceptable to Party A, in amounts and types consistent with companies engaged in similar business operations;</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2.1.10.</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merge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94" w:name="page495"/>
    <w:bookmarkEnd w:id="494"/>
    <w:p>
      <w:pPr>
        <w:ind w:left="840"/>
        <w:spacing w:after="0"/>
        <w:rPr>
          <w:sz w:val="20"/>
          <w:szCs w:val="20"/>
          <w:color w:val="auto"/>
        </w:rPr>
      </w:pPr>
      <w:r>
        <w:rPr>
          <w:rFonts w:ascii="Times New Roman" w:cs="Times New Roman" w:eastAsia="Times New Roman" w:hAnsi="Times New Roman"/>
          <w:sz w:val="18"/>
          <w:szCs w:val="18"/>
          <w:color w:val="auto"/>
        </w:rPr>
        <w:t>or consolidate with any Person, or acquire or invest in any Person;</w:t>
      </w:r>
    </w:p>
    <w:p>
      <w:pPr>
        <w:spacing w:after="0" w:line="225" w:lineRule="exact"/>
        <w:rPr>
          <w:sz w:val="20"/>
          <w:szCs w:val="20"/>
          <w:color w:val="auto"/>
        </w:rPr>
      </w:pPr>
    </w:p>
    <w:p>
      <w:pPr>
        <w:jc w:val="both"/>
        <w:ind w:left="840" w:right="2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2.1.11.</w:t>
        <w:tab/>
        <w:t>Party C shall promptly notify Party A of any litigation, arbitration or administrative proceeding relating to its assets, business or revenue that has occurred or may occur;</w:t>
      </w:r>
    </w:p>
    <w:p>
      <w:pPr>
        <w:spacing w:after="0" w:line="162" w:lineRule="exact"/>
        <w:rPr>
          <w:sz w:val="20"/>
          <w:szCs w:val="20"/>
          <w:color w:val="auto"/>
        </w:rPr>
      </w:pPr>
    </w:p>
    <w:p>
      <w:pPr>
        <w:jc w:val="both"/>
        <w:ind w:left="840" w:right="2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2.1.12.</w:t>
        <w:tab/>
        <w:t>In order to maintain Party C’s ownership of all of its assets, Party C shall execute all necessary or appropriate documents, take all necessary or appropriate actions, file all necessary or appropriate claims, and make all necessary or appropriate defenses against any claims;</w:t>
      </w:r>
    </w:p>
    <w:p>
      <w:pPr>
        <w:spacing w:after="0" w:line="176"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2.1.13.</w:t>
        <w:tab/>
        <w:t>Without the prior written consent of Party A, Party C shall not declare or distribute any dividends to its shareholders; provided that, upon request of Party A, Party C shall promptly distribute all of its distributable profits to its shareholders;</w:t>
      </w:r>
    </w:p>
    <w:p>
      <w:pPr>
        <w:spacing w:after="0" w:line="176" w:lineRule="exact"/>
        <w:rPr>
          <w:sz w:val="20"/>
          <w:szCs w:val="20"/>
          <w:color w:val="auto"/>
        </w:rPr>
      </w:pPr>
    </w:p>
    <w:p>
      <w:pPr>
        <w:jc w:val="both"/>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2.1.14.</w:t>
        <w:tab/>
        <w:t>At the request of Party A, Party C shall appoint any Person designated by Party A as a director or executive director of Party C;</w:t>
      </w:r>
    </w:p>
    <w:p>
      <w:pPr>
        <w:spacing w:after="0" w:line="162" w:lineRule="exact"/>
        <w:rPr>
          <w:sz w:val="20"/>
          <w:szCs w:val="20"/>
          <w:color w:val="auto"/>
        </w:rPr>
      </w:pPr>
    </w:p>
    <w:p>
      <w:pPr>
        <w:jc w:val="both"/>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2.1.15.</w:t>
        <w:tab/>
        <w:t>Without the prior written consent of Party A, Party C shall not engage in any business that competes with the business of Party A or any of its Affiliates;</w:t>
      </w:r>
    </w:p>
    <w:p>
      <w:pPr>
        <w:spacing w:after="0" w:line="162" w:lineRule="exact"/>
        <w:rPr>
          <w:sz w:val="20"/>
          <w:szCs w:val="20"/>
          <w:color w:val="auto"/>
        </w:rPr>
      </w:pPr>
    </w:p>
    <w:p>
      <w:pPr>
        <w:jc w:val="both"/>
        <w:ind w:left="840" w:right="2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2.1.16.</w:t>
        <w:tab/>
        <w:t>Unless required by mandatory provisions of PRC laws, Party C shall not be dissolved or liquidated without the prior written consent of Party A;</w:t>
      </w:r>
    </w:p>
    <w:p>
      <w:pPr>
        <w:spacing w:after="0" w:line="162" w:lineRule="exact"/>
        <w:rPr>
          <w:sz w:val="20"/>
          <w:szCs w:val="20"/>
          <w:color w:val="auto"/>
        </w:rPr>
      </w:pPr>
    </w:p>
    <w:p>
      <w:pPr>
        <w:jc w:val="both"/>
        <w:ind w:left="840" w:right="2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2.1.17.</w:t>
        <w:tab/>
        <w:t>The shareholders’ meeting and/or the directors (or executive director) of Party C shall not approve, without the prior written consent of Party A, any sale, transfer, mortgage or other disposition by Party B of any legal or beneficial interest in the equity interest of Party C held by Party B, nor permit any Security Interest to be created thereon, other than any rights created pursuant to the Party B Equity Pledge Agreement and the Party B Power of Attorney; and</w:t>
      </w:r>
    </w:p>
    <w:p>
      <w:pPr>
        <w:spacing w:after="0" w:line="180" w:lineRule="exact"/>
        <w:rPr>
          <w:sz w:val="20"/>
          <w:szCs w:val="20"/>
          <w:color w:val="auto"/>
        </w:rPr>
      </w:pPr>
    </w:p>
    <w:p>
      <w:pPr>
        <w:jc w:val="both"/>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2.1.18.</w:t>
        <w:tab/>
        <w:t>The shareholders’ meeting or the directors (or executive director) of Party C shall vote in favor of the transfer of the Purchased Equity as provided under this Agreement and shall take any other actions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495" w:name="page496"/>
    <w:bookmarkEnd w:id="495"/>
    <w:p>
      <w:pPr>
        <w:ind w:left="960"/>
        <w:spacing w:after="0"/>
        <w:rPr>
          <w:sz w:val="20"/>
          <w:szCs w:val="20"/>
          <w:color w:val="auto"/>
        </w:rPr>
      </w:pPr>
      <w:r>
        <w:rPr>
          <w:rFonts w:ascii="Times New Roman" w:cs="Times New Roman" w:eastAsia="Times New Roman" w:hAnsi="Times New Roman"/>
          <w:sz w:val="18"/>
          <w:szCs w:val="18"/>
          <w:color w:val="auto"/>
        </w:rPr>
        <w:t>requested by 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Covenants of Party 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Party B hereby covenants as follows:</w:t>
      </w:r>
    </w:p>
    <w:p>
      <w:pPr>
        <w:spacing w:after="0" w:line="225" w:lineRule="exact"/>
        <w:rPr>
          <w:sz w:val="20"/>
          <w:szCs w:val="20"/>
          <w:color w:val="auto"/>
        </w:rPr>
      </w:pPr>
    </w:p>
    <w:p>
      <w:pPr>
        <w:jc w:val="both"/>
        <w:ind w:left="960" w:hanging="647"/>
        <w:spacing w:after="0" w:line="261" w:lineRule="auto"/>
        <w:tabs>
          <w:tab w:leader="none" w:pos="940" w:val="left"/>
        </w:tabs>
        <w:rPr>
          <w:sz w:val="20"/>
          <w:szCs w:val="20"/>
          <w:color w:val="auto"/>
        </w:rPr>
      </w:pPr>
      <w:r>
        <w:rPr>
          <w:rFonts w:ascii="Times New Roman" w:cs="Times New Roman" w:eastAsia="Times New Roman" w:hAnsi="Times New Roman"/>
          <w:sz w:val="18"/>
          <w:szCs w:val="18"/>
          <w:color w:val="auto"/>
        </w:rPr>
        <w:t>2.2.1.</w:t>
        <w:tab/>
        <w:t>Without the prior written consent of Party A, Party B shall not sell, transfer, mortgage or otherwise dispose of any legal or beneficial interest in the equity interest of Party C held by Party B, nor permit any Security Interest to be created thereon, other than any rights created pursuant to the Party B Equity Pledge Agreement and the Party B Power of Attorney;</w:t>
      </w:r>
    </w:p>
    <w:p>
      <w:pPr>
        <w:spacing w:after="0" w:line="180"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2.2.2.</w:t>
        <w:tab/>
        <w:t>Party B shall promptly notify Party A of any litigation, arbitration or administrative proceeding relating to the equity interest held by Party B that has occurred or may occur;</w:t>
      </w:r>
    </w:p>
    <w:p>
      <w:pPr>
        <w:spacing w:after="0" w:line="162" w:lineRule="exact"/>
        <w:rPr>
          <w:sz w:val="20"/>
          <w:szCs w:val="20"/>
          <w:color w:val="auto"/>
        </w:rPr>
      </w:pPr>
    </w:p>
    <w:p>
      <w:pPr>
        <w:jc w:val="both"/>
        <w:ind w:left="960" w:hanging="647"/>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2.2.3.</w:t>
        <w:tab/>
        <w:t>In order to maintain Party B’s ownership of the equity interest, Party B shall execute all necessary or appropriate documents, take all necessary or appropriate actions, file all necessary or appropriate claims, and make all necessary or appropriate defenses against any claims;</w:t>
      </w:r>
    </w:p>
    <w:p>
      <w:pPr>
        <w:spacing w:after="0" w:line="176" w:lineRule="exact"/>
        <w:rPr>
          <w:sz w:val="20"/>
          <w:szCs w:val="20"/>
          <w:color w:val="auto"/>
        </w:rPr>
      </w:pPr>
    </w:p>
    <w:p>
      <w:pPr>
        <w:jc w:val="both"/>
        <w:ind w:left="960" w:hanging="647"/>
        <w:spacing w:after="0" w:line="258" w:lineRule="auto"/>
        <w:tabs>
          <w:tab w:leader="none" w:pos="940" w:val="left"/>
        </w:tabs>
        <w:rPr>
          <w:sz w:val="20"/>
          <w:szCs w:val="20"/>
          <w:color w:val="auto"/>
        </w:rPr>
      </w:pPr>
      <w:r>
        <w:rPr>
          <w:rFonts w:ascii="Times New Roman" w:cs="Times New Roman" w:eastAsia="Times New Roman" w:hAnsi="Times New Roman"/>
          <w:sz w:val="18"/>
          <w:szCs w:val="18"/>
          <w:color w:val="auto"/>
        </w:rPr>
        <w:t>2.2.4.</w:t>
        <w:tab/>
        <w:t>Party B hereby waives any right of first refusal it may have with respect to any transfer of equity interest in Party C by any other shareholder of Party C to Party A (if any), agrees that such other shareholders of Party C may enter into exclusive option agreements, equity pledge agreements and powers of attorney with Party A and Party C that are substantially similar to this Agreement, the Party B Equity Pledge Agreement and the Party B Power of Attorney, and undertakes that it will not take any action that conflicts with such agreements;</w:t>
      </w:r>
    </w:p>
    <w:p>
      <w:pPr>
        <w:spacing w:after="0" w:line="183" w:lineRule="exact"/>
        <w:rPr>
          <w:sz w:val="20"/>
          <w:szCs w:val="20"/>
          <w:color w:val="auto"/>
        </w:rPr>
      </w:pPr>
    </w:p>
    <w:p>
      <w:pPr>
        <w:jc w:val="both"/>
        <w:ind w:left="960" w:right="2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2.2.5.</w:t>
        <w:tab/>
        <w:t>To the extent permitted under PRC laws, any profits, dividends, distributions or liquidation proceeds received by Party B from Party C shall be promptly gifted to Party A or any Person designated by Party A; and</w:t>
      </w:r>
    </w:p>
    <w:p>
      <w:pPr>
        <w:spacing w:after="0" w:line="162"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2.2.6.</w:t>
        <w:tab/>
        <w:t>Party B shall strictly comply with the provisions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496" w:name="page497"/>
    <w:bookmarkEnd w:id="496"/>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all other agreements executed by Party B and Party C jointly or separately with Party A, duly perform all obligations thereunder, and shall not take or omit to take any action that may adversely affect the validity or enforceability of such agreements. To the extent Party B retains any rights with respect to the equity interest under this Agreement, the Party B Equity Pledge Agreement or the Party B Power of Attorney, Party B shall not exercise such rights without the written instruction of Party A.</w:t>
      </w:r>
    </w:p>
    <w:p>
      <w:pPr>
        <w:spacing w:after="0" w:line="179" w:lineRule="exact"/>
        <w:rPr>
          <w:sz w:val="20"/>
          <w:szCs w:val="20"/>
          <w:color w:val="auto"/>
        </w:rPr>
      </w:pPr>
    </w:p>
    <w:p>
      <w:pPr>
        <w:ind w:left="332" w:hanging="332"/>
        <w:spacing w:after="0"/>
        <w:tabs>
          <w:tab w:leader="none" w:pos="332"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hereby represents and warrants to Party A as of the date of this Agreement and as of each transfer date as follows:</w:t>
      </w:r>
    </w:p>
    <w:p>
      <w:pPr>
        <w:spacing w:after="0" w:line="225" w:lineRule="exact"/>
        <w:rPr>
          <w:rFonts w:ascii="Times New Roman" w:cs="Times New Roman" w:eastAsia="Times New Roman" w:hAnsi="Times New Roman"/>
          <w:sz w:val="18"/>
          <w:szCs w:val="18"/>
          <w:b w:val="1"/>
          <w:bCs w:val="1"/>
          <w:color w:val="auto"/>
        </w:rPr>
      </w:pPr>
    </w:p>
    <w:p>
      <w:pPr>
        <w:ind w:left="652" w:hanging="32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 Party B has the requisite power, capacity and authority to execute and deliver this Agreement and any equity transfer agreement to be entered into by Party B pursuant to this Agreement for each transfer of the Purchased Equity (each,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to perform its obligations under this Agreement and any Transfer Agreement. Party B agrees that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Transfer Agreements consistent with the terms of this Agreement upon Party A’s exercise of the Equity Purchase Option. Upon execution, this Agreement and each Transfer Agreement to which Party B is a party constitute or will constitute legal, valid and binding obligations of Party B, enforceable against Party B in accordance with their respective terms;</w:t>
      </w:r>
    </w:p>
    <w:p>
      <w:pPr>
        <w:spacing w:after="0" w:line="187" w:lineRule="exact"/>
        <w:rPr>
          <w:rFonts w:ascii="Times New Roman" w:cs="Times New Roman" w:eastAsia="Times New Roman" w:hAnsi="Times New Roman"/>
          <w:sz w:val="18"/>
          <w:szCs w:val="18"/>
          <w:b w:val="1"/>
          <w:bCs w:val="1"/>
          <w:color w:val="auto"/>
        </w:rPr>
      </w:pPr>
    </w:p>
    <w:p>
      <w:pPr>
        <w:ind w:left="652" w:hanging="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 Party B has good and marketable title to the equity interest it holds in Party C, free and clear of any Security Interest, other than the equity pledge created under the equity pledge agreement entered into between Party A and Party B and the power of attorney granted by Party B to Party A.</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hereby represents and warrants to Party A as of the date of this Agreement and as of each transfer date as follows:</w:t>
      </w:r>
    </w:p>
    <w:p>
      <w:pPr>
        <w:spacing w:after="0" w:line="225" w:lineRule="exact"/>
        <w:rPr>
          <w:rFonts w:ascii="Times New Roman" w:cs="Times New Roman" w:eastAsia="Times New Roman" w:hAnsi="Times New Roman"/>
          <w:sz w:val="18"/>
          <w:szCs w:val="18"/>
          <w:b w:val="1"/>
          <w:bCs w:val="1"/>
          <w:color w:val="auto"/>
        </w:rPr>
      </w:pPr>
    </w:p>
    <w:p>
      <w:pPr>
        <w:ind w:left="652" w:hanging="32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 Party C has the requisite power, capacity and authority to execute and deliver this Agreement and any Transfer Agreement, and to perform its obligations under this Agreement and any Transfer Agreement. Party C agrees that it shall execute Transfer Agreements consistent with the terms of this Agreement upon Party A’s exercise of the Equity Purchase Option. Upon execution,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97" w:name="page498"/>
    <w:bookmarkEnd w:id="497"/>
    <w:p>
      <w:pPr>
        <w:ind w:left="652"/>
        <w:spacing w:after="0" w:line="282" w:lineRule="auto"/>
        <w:rPr>
          <w:sz w:val="20"/>
          <w:szCs w:val="20"/>
          <w:color w:val="auto"/>
        </w:rPr>
      </w:pPr>
      <w:r>
        <w:rPr>
          <w:rFonts w:ascii="Times New Roman" w:cs="Times New Roman" w:eastAsia="Times New Roman" w:hAnsi="Times New Roman"/>
          <w:sz w:val="18"/>
          <w:szCs w:val="18"/>
          <w:color w:val="auto"/>
        </w:rPr>
        <w:t>Agreement and each Transfer Agreement to which Party B is a party constitute or will constitute legal, valid and binding obligations of Party B, enforceable against Party B in accordance with their respective terms;</w:t>
      </w:r>
    </w:p>
    <w:p>
      <w:pPr>
        <w:spacing w:after="0" w:line="162" w:lineRule="exact"/>
        <w:rPr>
          <w:sz w:val="20"/>
          <w:szCs w:val="20"/>
          <w:color w:val="auto"/>
        </w:rPr>
      </w:pPr>
    </w:p>
    <w:p>
      <w:pPr>
        <w:jc w:val="both"/>
        <w:ind w:left="652" w:right="20" w:hanging="323"/>
        <w:spacing w:after="0" w:line="282" w:lineRule="auto"/>
        <w:rPr>
          <w:sz w:val="20"/>
          <w:szCs w:val="20"/>
          <w:color w:val="auto"/>
        </w:rPr>
      </w:pPr>
      <w:r>
        <w:rPr>
          <w:rFonts w:ascii="Times New Roman" w:cs="Times New Roman" w:eastAsia="Times New Roman" w:hAnsi="Times New Roman"/>
          <w:sz w:val="18"/>
          <w:szCs w:val="18"/>
          <w:color w:val="auto"/>
        </w:rPr>
        <w:t>3.4. Party C has obtained all necessary consents and approvals from third parties and governmental authorities (if required) for the execution, delivery and performance of this Agreement;</w:t>
      </w:r>
    </w:p>
    <w:p>
      <w:pPr>
        <w:spacing w:after="0" w:line="162" w:lineRule="exact"/>
        <w:rPr>
          <w:sz w:val="20"/>
          <w:szCs w:val="20"/>
          <w:color w:val="auto"/>
        </w:rPr>
      </w:pPr>
    </w:p>
    <w:p>
      <w:pPr>
        <w:jc w:val="both"/>
        <w:ind w:left="652" w:hanging="323"/>
        <w:spacing w:after="0" w:line="256" w:lineRule="auto"/>
        <w:rPr>
          <w:sz w:val="20"/>
          <w:szCs w:val="20"/>
          <w:color w:val="auto"/>
        </w:rPr>
      </w:pPr>
      <w:r>
        <w:rPr>
          <w:rFonts w:ascii="Times New Roman" w:cs="Times New Roman" w:eastAsia="Times New Roman" w:hAnsi="Times New Roman"/>
          <w:sz w:val="18"/>
          <w:szCs w:val="18"/>
          <w:color w:val="auto"/>
        </w:rPr>
        <w:t>3.5. Neither the execution and delivery of this Agreement or any Transfer Agreement nor the performance of obligations hereunder or thereunder will: (i) result in a violation of any applicable PRC laws; (ii) conflict with the articles of association or other organizational documents of Party C; (iii) result in a breach of, or constitute a default under, any contract or instrument to which Party C is a party or by which it is bound; (iv) result in a breach of any condition applicable to the grant or continued effectiveness of any license or approval issued to Party C; or (v) result in the suspension, revocation or imposition of additional conditions on any license or approval issued to Party C;</w:t>
      </w:r>
    </w:p>
    <w:p>
      <w:pPr>
        <w:spacing w:after="0" w:line="18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3.6. Party C has good and marketable title to all of its assets, free and clear of any Security Interest;</w:t>
      </w:r>
    </w:p>
    <w:p>
      <w:pPr>
        <w:spacing w:after="0" w:line="225" w:lineRule="exact"/>
        <w:rPr>
          <w:sz w:val="20"/>
          <w:szCs w:val="20"/>
          <w:color w:val="auto"/>
        </w:rPr>
      </w:pPr>
    </w:p>
    <w:p>
      <w:pPr>
        <w:jc w:val="both"/>
        <w:ind w:left="652" w:right="20" w:hanging="323"/>
        <w:spacing w:after="0" w:line="282" w:lineRule="auto"/>
        <w:rPr>
          <w:sz w:val="20"/>
          <w:szCs w:val="20"/>
          <w:color w:val="auto"/>
        </w:rPr>
      </w:pPr>
      <w:r>
        <w:rPr>
          <w:rFonts w:ascii="Times New Roman" w:cs="Times New Roman" w:eastAsia="Times New Roman" w:hAnsi="Times New Roman"/>
          <w:sz w:val="18"/>
          <w:szCs w:val="18"/>
          <w:color w:val="auto"/>
        </w:rPr>
        <w:t>3.7. Party C has no outstanding indebtedness, except for (i) liabilities incurred in the ordinary course of business, and (ii) indebtedness disclosed to and approved in writing by Party A;</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3.8. Party C is in compliance with all applicable laws and regulations relating to the acquisition of assets; and</w:t>
      </w:r>
    </w:p>
    <w:p>
      <w:pPr>
        <w:spacing w:after="0" w:line="225" w:lineRule="exact"/>
        <w:rPr>
          <w:sz w:val="20"/>
          <w:szCs w:val="20"/>
          <w:color w:val="auto"/>
        </w:rPr>
      </w:pPr>
    </w:p>
    <w:p>
      <w:pPr>
        <w:jc w:val="both"/>
        <w:ind w:left="652" w:right="20" w:hanging="323"/>
        <w:spacing w:after="0" w:line="282" w:lineRule="auto"/>
        <w:rPr>
          <w:sz w:val="20"/>
          <w:szCs w:val="20"/>
          <w:color w:val="auto"/>
        </w:rPr>
      </w:pPr>
      <w:r>
        <w:rPr>
          <w:rFonts w:ascii="Times New Roman" w:cs="Times New Roman" w:eastAsia="Times New Roman" w:hAnsi="Times New Roman"/>
          <w:sz w:val="18"/>
          <w:szCs w:val="18"/>
          <w:color w:val="auto"/>
        </w:rPr>
        <w:t>3.9. There are no pending or threatened litigation, arbitration or administrative proceedings relating to the equity interest, the assets of Party C or Party C itself.</w:t>
      </w:r>
    </w:p>
    <w:p>
      <w:pPr>
        <w:spacing w:after="0" w:line="158" w:lineRule="exact"/>
        <w:rPr>
          <w:sz w:val="20"/>
          <w:szCs w:val="20"/>
          <w:color w:val="auto"/>
        </w:rPr>
      </w:pPr>
    </w:p>
    <w:p>
      <w:pPr>
        <w:ind w:left="332" w:hanging="332"/>
        <w:spacing w:after="0"/>
        <w:tabs>
          <w:tab w:leader="none" w:pos="332"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become effective upon execution by all Parties and shall terminate when all equity interests in Party C held by Party B and all assets of Party C have been lawfully transferred to Party A and/or its designated Person(s)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498" w:name="page499"/>
    <w:bookmarkEnd w:id="498"/>
    <w:p>
      <w:pPr>
        <w:ind w:left="340" w:right="6540" w:hanging="332"/>
        <w:spacing w:after="0" w:line="503" w:lineRule="auto"/>
        <w:tabs>
          <w:tab w:leader="none" w:pos="34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Governing Law and Dispute Resolution </w:t>
      </w: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Governing Law</w:t>
      </w: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execution, validity, interpretation, performance, amendment and termination of this Agreement and the resolution of any disputes hereunder shall be governed by the PRC laws.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Dispute Resolution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Any dispute arising from the interpretation or performance of this Agreement shall first be resolved through friendly consultation among the Parties. If the dispute cannot be resolved within thirty (30) days after one Party delivers a written notice requesting consultation, any Party may submit such dispute to the China International Economic and Trade Arbitration Commission (“CIETAC”) for arbitration in accordance with its arbitration rules.</w:t>
      </w:r>
    </w:p>
    <w:p>
      <w:pPr>
        <w:spacing w:after="0" w:line="176" w:lineRule="exact"/>
        <w:rPr>
          <w:sz w:val="20"/>
          <w:szCs w:val="20"/>
          <w:color w:val="auto"/>
        </w:rPr>
      </w:pPr>
    </w:p>
    <w:p>
      <w:pPr>
        <w:ind w:left="340" w:hanging="332"/>
        <w:spacing w:after="0"/>
        <w:tabs>
          <w:tab w:leader="none" w:pos="34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Expenses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shall bear any and all transfer and registration taxes, costs and expenses incurred by or imposed upon the Parties in connection with the preparation and execution of this Agreement and each Transfer Agreement and the consummation of the transactions contemplated under this Agreement and each Transfer Agreement in accordance with PRC laws.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left="660" w:right="20" w:hanging="323"/>
        <w:spacing w:after="0" w:line="266" w:lineRule="auto"/>
        <w:rPr>
          <w:sz w:val="20"/>
          <w:szCs w:val="20"/>
          <w:color w:val="auto"/>
        </w:rPr>
      </w:pPr>
      <w:r>
        <w:rPr>
          <w:rFonts w:ascii="Times New Roman" w:cs="Times New Roman" w:eastAsia="Times New Roman" w:hAnsi="Times New Roman"/>
          <w:sz w:val="18"/>
          <w:szCs w:val="18"/>
          <w:color w:val="auto"/>
        </w:rPr>
        <w:t>7.1. 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7.1.1.</w:t>
        <w:tab/>
        <w:t>If delivered by hand, courier service or registered mail (postage prepaid), the date of receipt or rejection at the designated address shall be deemed the effective delivery date;</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7.1.2.</w:t>
        <w:tab/>
        <w:t>If delivered by facsimile, the date of successful transmission (as evidenced by the automatically generated transmission confirmation) shall be deemed the effective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9" w:name="page500"/>
    <w:bookmarkEnd w:id="499"/>
    <w:p>
      <w:pPr>
        <w:ind w:left="340"/>
        <w:spacing w:after="0"/>
        <w:rPr>
          <w:sz w:val="20"/>
          <w:szCs w:val="20"/>
          <w:color w:val="auto"/>
        </w:rPr>
      </w:pPr>
      <w:r>
        <w:rPr>
          <w:rFonts w:ascii="Times New Roman" w:cs="Times New Roman" w:eastAsia="Times New Roman" w:hAnsi="Times New Roman"/>
          <w:sz w:val="18"/>
          <w:szCs w:val="18"/>
          <w:color w:val="auto"/>
        </w:rPr>
        <w:t>7.2. Addresses for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Party A:</w:t>
      </w:r>
    </w:p>
    <w:p>
      <w:pPr>
        <w:spacing w:after="0" w:line="27" w:lineRule="exact"/>
        <w:rPr>
          <w:sz w:val="20"/>
          <w:szCs w:val="20"/>
          <w:color w:val="auto"/>
        </w:rPr>
      </w:pPr>
    </w:p>
    <w:p>
      <w:pPr>
        <w:ind w:left="660" w:right="3760"/>
        <w:spacing w:after="0" w:line="255" w:lineRule="auto"/>
        <w:rPr>
          <w:sz w:val="20"/>
          <w:szCs w:val="20"/>
          <w:color w:val="auto"/>
        </w:rPr>
      </w:pPr>
      <w:r>
        <w:rPr>
          <w:rFonts w:ascii="Times New Roman" w:cs="Times New Roman" w:eastAsia="Times New Roman" w:hAnsi="Times New Roman"/>
          <w:sz w:val="18"/>
          <w:szCs w:val="18"/>
          <w:color w:val="auto"/>
        </w:rPr>
        <w:t>Address: [Room 0610-E12, Port Building, Maritime Center, No. 59 Linhai Avenue, Nanshan Subdistrict, Qianhai Shenzhen-Hongkong Modern Service Industry Cooperation Zone, Shenzhen] Attn: [Wu Kening]</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Party B:</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 [Room 16G, Block D, Xihai Mingzhu Garden, No. 1 Taoyuan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Nanshan District, Shenzhen]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[Wu Kening]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Party C:</w:t>
      </w:r>
    </w:p>
    <w:p>
      <w:pPr>
        <w:spacing w:after="0" w:line="27" w:lineRule="exact"/>
        <w:rPr>
          <w:sz w:val="20"/>
          <w:szCs w:val="20"/>
          <w:color w:val="auto"/>
        </w:rPr>
      </w:pPr>
    </w:p>
    <w:p>
      <w:pPr>
        <w:jc w:val="both"/>
        <w:ind w:left="660" w:right="3680"/>
        <w:spacing w:after="0" w:line="250" w:lineRule="auto"/>
        <w:rPr>
          <w:sz w:val="20"/>
          <w:szCs w:val="20"/>
          <w:color w:val="auto"/>
        </w:rPr>
      </w:pPr>
      <w:r>
        <w:rPr>
          <w:rFonts w:ascii="Times New Roman" w:cs="Times New Roman" w:eastAsia="Times New Roman" w:hAnsi="Times New Roman"/>
          <w:sz w:val="18"/>
          <w:szCs w:val="18"/>
          <w:color w:val="auto"/>
        </w:rPr>
        <w:t>Address: [Room 1374A, Guoxin Investment Building, No. 07 Gaoxin South 7th Road, High-Tech Zone Community, Yuehai Subdistrict, Nanshan District, Shenzhen]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[Wu Kening]</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7.3. Any Party may change its address for notice by delivering notice to the other Parties in accordance with this Section.</w:t>
      </w:r>
    </w:p>
    <w:p>
      <w:pPr>
        <w:spacing w:after="0" w:line="221" w:lineRule="exact"/>
        <w:rPr>
          <w:sz w:val="20"/>
          <w:szCs w:val="20"/>
          <w:color w:val="auto"/>
        </w:rPr>
      </w:pPr>
    </w:p>
    <w:p>
      <w:pPr>
        <w:ind w:left="340" w:hanging="332"/>
        <w:spacing w:after="0"/>
        <w:tabs>
          <w:tab w:leader="none" w:pos="340"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Party,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0" w:name="page501"/>
    <w:bookmarkEnd w:id="500"/>
    <w:p>
      <w:pPr>
        <w:ind w:left="340" w:right="20"/>
        <w:spacing w:after="0" w:line="282" w:lineRule="auto"/>
        <w:rPr>
          <w:sz w:val="20"/>
          <w:szCs w:val="20"/>
          <w:color w:val="auto"/>
        </w:rPr>
      </w:pPr>
      <w:r>
        <w:rPr>
          <w:rFonts w:ascii="Times New Roman" w:cs="Times New Roman" w:eastAsia="Times New Roman" w:hAnsi="Times New Roman"/>
          <w:sz w:val="18"/>
          <w:szCs w:val="18"/>
          <w:color w:val="auto"/>
        </w:rPr>
        <w:t>herein. Any breach of confidentiality by a Party’s shareholders, directors, employees or engaged institutions shall be deemed a breach by such Party, which shall bear liability for breach in accordance with this Agreement.</w:t>
      </w:r>
    </w:p>
    <w:p>
      <w:pPr>
        <w:spacing w:after="0" w:line="158" w:lineRule="exact"/>
        <w:rPr>
          <w:sz w:val="20"/>
          <w:szCs w:val="20"/>
          <w:color w:val="auto"/>
        </w:rPr>
      </w:pPr>
    </w:p>
    <w:p>
      <w:pPr>
        <w:ind w:left="340" w:hanging="332"/>
        <w:spacing w:after="0"/>
        <w:tabs>
          <w:tab w:leader="none" w:pos="34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promptly execute all documents and take all further actions reasonably necessary or desirable to carry out the provisions and purposes of this Agreement.</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780" w:right="20" w:hanging="44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Subject to Section 10.3, if Party B or Party C materially breaches any provision of this Agreement, Party A shall have the right to terminate this Agreement and/or require Party B or Party C to compensate for damages. Subject to Section 10.3, this Section 10 shall not prejudice any other rights of Party A under this Agreement.</w:t>
      </w:r>
    </w:p>
    <w:p>
      <w:pPr>
        <w:spacing w:after="0" w:line="175" w:lineRule="exact"/>
        <w:rPr>
          <w:rFonts w:ascii="Times New Roman" w:cs="Times New Roman" w:eastAsia="Times New Roman" w:hAnsi="Times New Roman"/>
          <w:sz w:val="18"/>
          <w:szCs w:val="18"/>
          <w:b w:val="1"/>
          <w:bCs w:val="1"/>
          <w:color w:val="auto"/>
        </w:rPr>
      </w:pPr>
    </w:p>
    <w:p>
      <w:pPr>
        <w:ind w:left="780" w:hanging="44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Except as otherwise required by applicable laws, Party B or Party C shall not have any right to terminate or rescind this Agreement under any circumstances.</w:t>
      </w:r>
    </w:p>
    <w:p>
      <w:pPr>
        <w:spacing w:after="0" w:line="161" w:lineRule="exact"/>
        <w:rPr>
          <w:rFonts w:ascii="Times New Roman" w:cs="Times New Roman" w:eastAsia="Times New Roman" w:hAnsi="Times New Roman"/>
          <w:sz w:val="18"/>
          <w:szCs w:val="18"/>
          <w:b w:val="1"/>
          <w:bCs w:val="1"/>
          <w:color w:val="auto"/>
        </w:rPr>
      </w:pPr>
    </w:p>
    <w:p>
      <w:pPr>
        <w:ind w:left="780" w:hanging="446"/>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Notwithstanding any contrary provision in this Agreement, the Party B Equity Pledge Agreement, the Party B Power of Attorney, any other Transaction Document (as defined in the Party B Equity Pledge Agreement), or any applicable law, in the event of any breach by Party B of any representation, warranty, covenant, undertaking, agreement or condition under this Agreement, the Party B Equity Pledge Agreement, the Party B Power of Attorney or any other Transaction Document, Party A’s sole remedy shall be limited to exercising its pledge rights over the equity interests in Party C held by Party B pursuant to Section 8 of the Party B Equity Pledge Agreement, and Party B shall not bear any compensation or other liability to Party A or any other Person.</w:t>
      </w:r>
    </w:p>
    <w:p>
      <w:pPr>
        <w:spacing w:after="0" w:line="18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 Modification and Supplement</w:t>
      </w:r>
    </w:p>
    <w:p>
      <w:pPr>
        <w:spacing w:after="0" w:line="225" w:lineRule="exact"/>
        <w:rPr>
          <w:rFonts w:ascii="Times New Roman" w:cs="Times New Roman" w:eastAsia="Times New Roman" w:hAnsi="Times New Roman"/>
          <w:sz w:val="18"/>
          <w:szCs w:val="18"/>
          <w:b w:val="1"/>
          <w:bCs w:val="1"/>
          <w:color w:val="auto"/>
        </w:rPr>
      </w:pPr>
    </w:p>
    <w:p>
      <w:pPr>
        <w:ind w:left="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modification or supplement to this Agreement shall be made in writing and signed by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Entire Agreement</w:t>
      </w:r>
    </w:p>
    <w:p>
      <w:pPr>
        <w:spacing w:after="0" w:line="225"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Except for any written amendment, supplement or modification executed after the date hereof, this Agreement constitutes the entire agreement among the Parties with respect to the subject matter hereof and supersedes all prior oral or written negotiations, representations and agreements relating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for convenience of reference only and shall not affect the interpretation of any provision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Language</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This Agreement is executed in three (3) originals, with each Party holding one original, and each original shall have equal legal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respective successors and permitted assigns of the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Survival</w:t>
      </w:r>
    </w:p>
    <w:p>
      <w:pPr>
        <w:spacing w:after="0" w:line="225" w:lineRule="exact"/>
        <w:rPr>
          <w:sz w:val="20"/>
          <w:szCs w:val="20"/>
          <w:color w:val="auto"/>
        </w:rPr>
      </w:pPr>
    </w:p>
    <w:p>
      <w:pPr>
        <w:jc w:val="both"/>
        <w:ind w:left="1080"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11.7.1.</w:t>
        <w:tab/>
        <w:t>Any obligations incurred or accrued under this Agreement prior to expiration or early termination shall survive such expiration or termination.</w:t>
      </w:r>
    </w:p>
    <w:p>
      <w:pPr>
        <w:spacing w:after="0" w:line="162"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11.7.2.</w:t>
        <w:tab/>
        <w:t>The provisions of Sections 5, 8, 10 and this Section 11.7 shall survive the termination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02" w:name="page503"/>
    <w:bookmarkEnd w:id="502"/>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Any waiver of the terms and conditions of this Agreement must be made in writing and signed by all Parties. A waiver by any Party of a breach by another Party in a particular circumstance shall not be deemed a waiver of any similar breach in any other circumstance.</w:t>
      </w:r>
    </w:p>
    <w:p>
      <w:pPr>
        <w:spacing w:after="0" w:line="17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03" w:name="page504"/>
    <w:bookmarkEnd w:id="503"/>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27774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Kening Wu</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4" w:name="page505"/>
    <w:bookmarkEnd w:id="504"/>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5" w:name="page506"/>
    <w:bookmarkEnd w:id="505"/>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27774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Wu Kening</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6" w:name="page507"/>
    <w:bookmarkEnd w:id="506"/>
    <w:p>
      <w:pPr>
        <w:jc w:val="center"/>
        <w:ind w:right="19"/>
        <w:spacing w:after="0"/>
        <w:rPr>
          <w:sz w:val="20"/>
          <w:szCs w:val="20"/>
          <w:color w:val="auto"/>
        </w:rPr>
      </w:pPr>
      <w:r>
        <w:rPr>
          <w:rFonts w:ascii="Times New Roman" w:cs="Times New Roman" w:eastAsia="Times New Roman" w:hAnsi="Times New Roman"/>
          <w:sz w:val="18"/>
          <w:szCs w:val="18"/>
          <w:color w:val="auto"/>
        </w:rPr>
        <w:t>Annex 1 Equity Transfer Agreement</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07" w:name="page508"/>
    <w:bookmarkEnd w:id="507"/>
    <w:p>
      <w:pPr>
        <w:jc w:val="center"/>
        <w:spacing w:after="0"/>
        <w:rPr>
          <w:sz w:val="20"/>
          <w:szCs w:val="20"/>
          <w:color w:val="auto"/>
        </w:rPr>
      </w:pPr>
      <w:r>
        <w:rPr>
          <w:rFonts w:ascii="Times New Roman" w:cs="Times New Roman" w:eastAsia="Times New Roman" w:hAnsi="Times New Roman"/>
          <w:sz w:val="17"/>
          <w:szCs w:val="17"/>
          <w:color w:val="auto"/>
        </w:rPr>
        <w:t>Annex 1 Representations and Warranties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08" w:name="page509"/>
    <w:bookmarkEnd w:id="508"/>
    <w:p>
      <w:pPr>
        <w:jc w:val="right"/>
        <w:spacing w:after="0"/>
        <w:rPr>
          <w:sz w:val="20"/>
          <w:szCs w:val="20"/>
          <w:color w:val="auto"/>
        </w:rPr>
      </w:pPr>
      <w:r>
        <w:rPr>
          <w:rFonts w:ascii="Times New Roman" w:cs="Times New Roman" w:eastAsia="Times New Roman" w:hAnsi="Times New Roman"/>
          <w:sz w:val="18"/>
          <w:szCs w:val="18"/>
          <w:b w:val="1"/>
          <w:bCs w:val="1"/>
          <w:color w:val="auto"/>
        </w:rPr>
        <w:t>Exhibit 4.39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Exclusive Option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[February 20], 2022 in [Shenzhen], the People’s Republic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 the following parties:</w:t>
      </w:r>
    </w:p>
    <w:p>
      <w:pPr>
        <w:spacing w:after="0" w:line="162" w:lineRule="exact"/>
        <w:rPr>
          <w:sz w:val="20"/>
          <w:szCs w:val="20"/>
          <w:color w:val="auto"/>
        </w:rPr>
      </w:pPr>
    </w:p>
    <w:p>
      <w:pPr>
        <w:jc w:val="both"/>
        <w:ind w:left="660" w:right="30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xml:space="preserve"> a wholly foreign-owned enterprise duly established and validly existing under the PRC laws, with its address at Room 0610-E12, Port Building, Maritime Center, No. 59 Linhai Avenue, Nanshan Subdistrict, Qianhai Shenzhen-Hongkong Modern Service Industry Cooperation Zone, Shenzhen;</w:t>
      </w:r>
    </w:p>
    <w:p>
      <w:pPr>
        <w:spacing w:after="0" w:line="130" w:lineRule="exact"/>
        <w:rPr>
          <w:sz w:val="20"/>
          <w:szCs w:val="20"/>
          <w:color w:val="auto"/>
        </w:rPr>
      </w:pPr>
    </w:p>
    <w:p>
      <w:pPr>
        <w:ind w:left="660" w:right="180" w:hanging="647"/>
        <w:spacing w:after="0" w:line="286" w:lineRule="auto"/>
        <w:rPr>
          <w:sz w:val="20"/>
          <w:szCs w:val="20"/>
          <w:color w:val="auto"/>
        </w:rPr>
      </w:pPr>
      <w:r>
        <w:rPr>
          <w:rFonts w:ascii="Times New Roman" w:cs="Times New Roman" w:eastAsia="Times New Roman" w:hAnsi="Times New Roman"/>
          <w:sz w:val="18"/>
          <w:szCs w:val="18"/>
          <w:color w:val="auto"/>
        </w:rPr>
        <w:t xml:space="preserve">Party B: </w:t>
      </w:r>
      <w:r>
        <w:rPr>
          <w:rFonts w:ascii="Times New Roman" w:cs="Times New Roman" w:eastAsia="Times New Roman" w:hAnsi="Times New Roman"/>
          <w:sz w:val="18"/>
          <w:szCs w:val="18"/>
          <w:b w:val="1"/>
          <w:bCs w:val="1"/>
          <w:color w:val="auto"/>
        </w:rPr>
        <w:t>Wu Kening</w:t>
      </w:r>
      <w:r>
        <w:rPr>
          <w:rFonts w:ascii="Times New Roman" w:cs="Times New Roman" w:eastAsia="Times New Roman" w:hAnsi="Times New Roman"/>
          <w:sz w:val="18"/>
          <w:szCs w:val="18"/>
          <w:color w:val="auto"/>
        </w:rPr>
        <w:t>, a PRC citizen, ID No. ******************, residing at [Room 2-2-501, Fenggang Garden, No. 22 Jinhu Road, Luohu District, Shenzhen]; and</w:t>
      </w:r>
    </w:p>
    <w:p>
      <w:pPr>
        <w:spacing w:after="0" w:line="114" w:lineRule="exact"/>
        <w:rPr>
          <w:sz w:val="20"/>
          <w:szCs w:val="20"/>
          <w:color w:val="auto"/>
        </w:rPr>
      </w:pPr>
    </w:p>
    <w:p>
      <w:pPr>
        <w:ind w:left="660" w:right="14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C: </w:t>
      </w:r>
      <w:r>
        <w:rPr>
          <w:rFonts w:ascii="Times New Roman" w:cs="Times New Roman" w:eastAsia="Times New Roman" w:hAnsi="Times New Roman"/>
          <w:sz w:val="18"/>
          <w:szCs w:val="18"/>
          <w:b w:val="1"/>
          <w:bCs w:val="1"/>
          <w:color w:val="auto"/>
        </w:rPr>
        <w:t>Shenzhen Zhiyi Wensi Consulting Partnership (Limited Partnership)</w:t>
      </w:r>
      <w:r>
        <w:rPr>
          <w:rFonts w:ascii="Times New Roman" w:cs="Times New Roman" w:eastAsia="Times New Roman" w:hAnsi="Times New Roman"/>
          <w:sz w:val="18"/>
          <w:szCs w:val="18"/>
          <w:color w:val="auto"/>
        </w:rPr>
        <w:t>, a limited partnership duly established and validly existing under the PRC laws, with its address at Room 1402-29, Building 1, Shenzhen Software Industry Base, Nos. 81, 83, 85 Gaoxin South 10th Road, Binhai Community, Yuehai Subdistrict, Nanshan District, Shenzhen.</w:t>
      </w:r>
    </w:p>
    <w:p>
      <w:pPr>
        <w:spacing w:after="0" w:line="130" w:lineRule="exact"/>
        <w:rPr>
          <w:sz w:val="20"/>
          <w:szCs w:val="20"/>
          <w:color w:val="auto"/>
        </w:rPr>
      </w:pPr>
    </w:p>
    <w:p>
      <w:pPr>
        <w:ind w:right="1260" w:firstLine="324"/>
        <w:spacing w:after="0" w:line="464" w:lineRule="auto"/>
        <w:rPr>
          <w:sz w:val="20"/>
          <w:szCs w:val="20"/>
          <w:color w:val="auto"/>
        </w:rPr>
      </w:pPr>
      <w:r>
        <w:rPr>
          <w:rFonts w:ascii="Times New Roman" w:cs="Times New Roman" w:eastAsia="Times New Roman" w:hAnsi="Times New Roman"/>
          <w:sz w:val="18"/>
          <w:szCs w:val="18"/>
          <w:color w:val="auto"/>
        </w:rPr>
        <w:t>Party A, Party B, and Party C are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WHEREAS:</w:t>
      </w:r>
    </w:p>
    <w:p>
      <w:pPr>
        <w:ind w:left="340" w:right="820" w:hanging="332"/>
        <w:spacing w:after="0" w:line="282" w:lineRule="auto"/>
        <w:tabs>
          <w:tab w:leader="none" w:pos="3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partner of Party C. As of the date of this Agreement, Party B holds 95% of the partnership interest in Party C, representing contributed capital of RMB 95,000 to Party C.</w:t>
      </w:r>
    </w:p>
    <w:p>
      <w:pPr>
        <w:spacing w:after="0" w:line="121"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pursuant to this Agreement, to grant Party A an exclusive right to purchase all or part of the partnership interest in Party C held by Party B at such time.</w:t>
      </w:r>
    </w:p>
    <w:p>
      <w:pPr>
        <w:spacing w:after="0" w:line="1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the Parties hereby agree as follows:</w:t>
      </w:r>
    </w:p>
    <w:p>
      <w:pPr>
        <w:spacing w:after="0" w:line="181" w:lineRule="exact"/>
        <w:rPr>
          <w:sz w:val="20"/>
          <w:szCs w:val="20"/>
          <w:color w:val="auto"/>
        </w:rPr>
      </w:pPr>
    </w:p>
    <w:p>
      <w:pPr>
        <w:ind w:left="340" w:hanging="332"/>
        <w:spacing w:after="0"/>
        <w:tabs>
          <w:tab w:leader="none" w:pos="340"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of Partnership Interest Option and Asset Purchase Option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4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Partnership Interest Purchase Option</w:t>
      </w:r>
    </w:p>
    <w:p>
      <w:pPr>
        <w:spacing w:after="0" w:line="185" w:lineRule="exact"/>
        <w:rPr>
          <w:sz w:val="20"/>
          <w:szCs w:val="20"/>
          <w:color w:val="auto"/>
        </w:rPr>
      </w:pPr>
    </w:p>
    <w:p>
      <w:pPr>
        <w:ind w:left="320"/>
        <w:spacing w:after="0" w:line="254" w:lineRule="auto"/>
        <w:rPr>
          <w:sz w:val="20"/>
          <w:szCs w:val="20"/>
          <w:color w:val="auto"/>
        </w:rPr>
      </w:pPr>
      <w:r>
        <w:rPr>
          <w:rFonts w:ascii="Times New Roman" w:cs="Times New Roman" w:eastAsia="Times New Roman" w:hAnsi="Times New Roman"/>
          <w:sz w:val="18"/>
          <w:szCs w:val="18"/>
          <w:color w:val="auto"/>
        </w:rPr>
        <w:t>Party B hereby irrevocably grants Party A a proprietary right, to the extent permitted under PRC laws, exercisable in accordance with the steps determined by Party A at its sole discretion and at the price set forth in Section 1.3, to purchase from Party B, or designate one or more persons (“</w:t>
      </w:r>
      <w:r>
        <w:rPr>
          <w:rFonts w:ascii="Times New Roman" w:cs="Times New Roman" w:eastAsia="Times New Roman" w:hAnsi="Times New Roman"/>
          <w:sz w:val="18"/>
          <w:szCs w:val="18"/>
          <w:b w:val="1"/>
          <w:bCs w:val="1"/>
          <w:color w:val="auto"/>
        </w:rPr>
        <w:t>Designee(s)</w:t>
      </w:r>
      <w:r>
        <w:rPr>
          <w:rFonts w:ascii="Times New Roman" w:cs="Times New Roman" w:eastAsia="Times New Roman" w:hAnsi="Times New Roman"/>
          <w:sz w:val="18"/>
          <w:szCs w:val="18"/>
          <w:color w:val="auto"/>
        </w:rPr>
        <w:t>”) to purchase, at any time and from time to time, all or part of the partnership interest in Party C then held by Party B (“</w:t>
      </w:r>
      <w:r>
        <w:rPr>
          <w:rFonts w:ascii="Times New Roman" w:cs="Times New Roman" w:eastAsia="Times New Roman" w:hAnsi="Times New Roman"/>
          <w:sz w:val="18"/>
          <w:szCs w:val="18"/>
          <w:b w:val="1"/>
          <w:bCs w:val="1"/>
          <w:color w:val="auto"/>
        </w:rPr>
        <w:t>Partnership Interest Purchase Option</w:t>
      </w:r>
      <w:r>
        <w:rPr>
          <w:rFonts w:ascii="Times New Roman" w:cs="Times New Roman" w:eastAsia="Times New Roman" w:hAnsi="Times New Roman"/>
          <w:sz w:val="18"/>
          <w:szCs w:val="18"/>
          <w:color w:val="auto"/>
        </w:rPr>
        <w:t>”). Except for Party A and the Designee(s), no other Person shall be entitled to the Partnership Interest Purchase Option or any other rights with respect to the partnership interest held by Party B. Party C hereby consents to Party B granting the Partnership Interest Purchase Option to Party A. For purposes of this Agreement, “Person” means any individual, company, joint venture, partnership, enterprise, trust or non-corporate organization.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Procedures</w:t>
      </w:r>
    </w:p>
    <w:p>
      <w:pPr>
        <w:spacing w:after="0" w:line="185" w:lineRule="exact"/>
        <w:rPr>
          <w:sz w:val="20"/>
          <w:szCs w:val="20"/>
          <w:color w:val="auto"/>
        </w:rPr>
      </w:pPr>
    </w:p>
    <w:p>
      <w:pPr>
        <w:ind w:left="320" w:right="140"/>
        <w:spacing w:after="0" w:line="258" w:lineRule="auto"/>
        <w:rPr>
          <w:sz w:val="20"/>
          <w:szCs w:val="20"/>
          <w:color w:val="auto"/>
        </w:rPr>
      </w:pPr>
      <w:r>
        <w:rPr>
          <w:rFonts w:ascii="Times New Roman" w:cs="Times New Roman" w:eastAsia="Times New Roman" w:hAnsi="Times New Roman"/>
          <w:sz w:val="18"/>
          <w:szCs w:val="18"/>
          <w:color w:val="auto"/>
        </w:rPr>
        <w:t>Party A’s exercise of the Partnership Interest Purchase Option shall be subject to compliance with applicable PRC laws and regulations. Upon exercising the Partnership Interest Purchase Option, Party A shall deliver a written notice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Purchase Notice</w:t>
      </w:r>
      <w:r>
        <w:rPr>
          <w:rFonts w:ascii="Times New Roman" w:cs="Times New Roman" w:eastAsia="Times New Roman" w:hAnsi="Times New Roman"/>
          <w:sz w:val="18"/>
          <w:szCs w:val="18"/>
          <w:color w:val="auto"/>
        </w:rPr>
        <w:t>”) to Party B, specifying: (a) Party A’s or the Designee’s decision to exercise the Partnership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Option; (b) the partnership interest to be purchased from Party B (“</w:t>
      </w:r>
      <w:r>
        <w:rPr>
          <w:rFonts w:ascii="Times New Roman" w:cs="Times New Roman" w:eastAsia="Times New Roman" w:hAnsi="Times New Roman"/>
          <w:sz w:val="18"/>
          <w:szCs w:val="18"/>
          <w:b w:val="1"/>
          <w:bCs w:val="1"/>
          <w:color w:val="auto"/>
        </w:rPr>
        <w:t>Purchased Partnership Interest</w:t>
      </w:r>
      <w:r>
        <w:rPr>
          <w:rFonts w:ascii="Times New Roman" w:cs="Times New Roman" w:eastAsia="Times New Roman" w:hAnsi="Times New Roman"/>
          <w:sz w:val="18"/>
          <w:szCs w:val="18"/>
          <w:color w:val="auto"/>
        </w:rPr>
        <w:t>”); and (c) the purchase date/transfer date of the Purchased Partnership Interest.</w:t>
      </w:r>
    </w:p>
    <w:p>
      <w:pPr>
        <w:spacing w:after="0" w:line="143" w:lineRule="exact"/>
        <w:rPr>
          <w:sz w:val="20"/>
          <w:szCs w:val="20"/>
          <w:color w:val="auto"/>
        </w:rPr>
      </w:pPr>
    </w:p>
    <w:p>
      <w:pPr>
        <w:ind w:left="320" w:right="40"/>
        <w:spacing w:after="0" w:line="256" w:lineRule="auto"/>
        <w:rPr>
          <w:sz w:val="20"/>
          <w:szCs w:val="20"/>
          <w:color w:val="auto"/>
        </w:rPr>
      </w:pPr>
      <w:r>
        <w:rPr>
          <w:rFonts w:ascii="Times New Roman" w:cs="Times New Roman" w:eastAsia="Times New Roman" w:hAnsi="Times New Roman"/>
          <w:sz w:val="18"/>
          <w:szCs w:val="18"/>
          <w:color w:val="auto"/>
        </w:rPr>
        <w:t>Within five (5) Business Days after Party A exercises the Partnership Interest Purchase Option and delivers the written notice to Party B, Party B shall cooperate in executing an partnership interest transfer agreement in the form attached hereto as Annex 1 and shall cooperate in completing the relevant registration of change with the competent registration authority. For the avoidance of doubt, provided that the relevant partnership interest transfer agreement complies with applicable laws and the provisions relating to the Partnership Interest Purchase Option under this Agreement, Party A shall have the right to make reasonable revisions to the 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60"/>
          </w:cols>
          <w:pgMar w:left="1320" w:top="121" w:right="1019" w:bottom="1440" w:gutter="0" w:footer="0" w:header="0"/>
        </w:sectPr>
      </w:pPr>
    </w:p>
    <w:bookmarkStart w:id="510" w:name="page511"/>
    <w:bookmarkEnd w:id="510"/>
    <w:p>
      <w:pPr>
        <w:ind w:left="320"/>
        <w:spacing w:after="0"/>
        <w:rPr>
          <w:sz w:val="20"/>
          <w:szCs w:val="20"/>
          <w:color w:val="auto"/>
        </w:rPr>
      </w:pPr>
      <w:r>
        <w:rPr>
          <w:rFonts w:ascii="Times New Roman" w:cs="Times New Roman" w:eastAsia="Times New Roman" w:hAnsi="Times New Roman"/>
          <w:sz w:val="18"/>
          <w:szCs w:val="18"/>
          <w:color w:val="auto"/>
        </w:rPr>
        <w:t>such partnership interest transfer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Partnership Interest Purchase Price</w:t>
      </w:r>
    </w:p>
    <w:p>
      <w:pPr>
        <w:spacing w:after="0" w:line="194"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color w:val="auto"/>
        </w:rPr>
        <w:t>The purchase price for the Purchased Partnership Interest (“</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shall be RMB 1. If the lowest price permitted under PRC laws at the time of exercise exceeds the Base Purchase Price, the transfer price shall be the lowest price permitted under PRC laws (collectively, “</w:t>
      </w:r>
      <w:r>
        <w:rPr>
          <w:rFonts w:ascii="Times New Roman" w:cs="Times New Roman" w:eastAsia="Times New Roman" w:hAnsi="Times New Roman"/>
          <w:sz w:val="18"/>
          <w:szCs w:val="18"/>
          <w:b w:val="1"/>
          <w:bCs w:val="1"/>
          <w:color w:val="auto"/>
        </w:rPr>
        <w:t>Partnership Interest Purchase Price</w:t>
      </w:r>
      <w:r>
        <w:rPr>
          <w:rFonts w:ascii="Times New Roman" w:cs="Times New Roman" w:eastAsia="Times New Roman" w:hAnsi="Times New Roman"/>
          <w:sz w:val="18"/>
          <w:szCs w:val="18"/>
          <w:color w:val="auto"/>
        </w:rPr>
        <w:t>”). Subject to Party C having fulfilled its obligations under Section 6 of this Agreement, all Partnership Interest Purchase Price received by Party B from the transfer of the Purchased Partnership Interest, as well as any other proceeds received by Party B in connection with such transfer, shall be used to repay the loans (if any) extended by Party A to Party B immediately upon receipt. Any remaining balance after repayment of such loans shall be transferred to Party A or the Designee(s) without consideration. For the avoidance of doubt, the Partnership Interest Purchase Price payable to Party A or the Designee(s) shall be net of: (i) any capital contribution paid by Party B to Party C using Party B’s own funds (excluding loans provided by Party A to Party B for the purpose of capital increase in Party C); and (ii) any taxes, costs and expenses already paid by Party B in connection with the preparation and execution of this Agreement and each transfer agreement (as defined below) and the consummation of the transactions contemplated hereby and thereby.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Transfer of Purchased Partnership Interest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time Party A exercises the Partnership Interest Purchase Option:</w:t>
      </w:r>
    </w:p>
    <w:p>
      <w:pPr>
        <w:spacing w:after="0" w:line="198" w:lineRule="exact"/>
        <w:rPr>
          <w:sz w:val="20"/>
          <w:szCs w:val="20"/>
          <w:color w:val="auto"/>
        </w:rPr>
      </w:pPr>
    </w:p>
    <w:p>
      <w:pPr>
        <w:ind w:left="960" w:right="40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1.4.1</w:t>
        <w:tab/>
        <w:t>Party C shall promptly convene a partners’ meeting at which a resolution approving the transfer of the Purchased Partnership Interest by Party B to Party A and/or the Designee(s) shall be adopted;</w:t>
      </w:r>
    </w:p>
    <w:p>
      <w:pPr>
        <w:spacing w:after="0" w:line="121" w:lineRule="exact"/>
        <w:rPr>
          <w:sz w:val="20"/>
          <w:szCs w:val="20"/>
          <w:color w:val="auto"/>
        </w:rPr>
      </w:pPr>
    </w:p>
    <w:p>
      <w:pPr>
        <w:ind w:left="960" w:right="48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1.4.2</w:t>
        <w:tab/>
        <w:t>Party C shall procure written consent from its other partners approving the transfer of the Purchased Partnership Interest by Party B to Party A and/or the Designee(s) and waiving any pre-emptive rights;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00"/>
          </w:cols>
          <w:pgMar w:left="1320" w:top="121" w:right="1079" w:bottom="1440" w:gutter="0" w:footer="0" w:header="0"/>
        </w:sectPr>
      </w:pPr>
    </w:p>
    <w:bookmarkStart w:id="511" w:name="page512"/>
    <w:bookmarkEnd w:id="511"/>
    <w:p>
      <w:pPr>
        <w:ind w:left="960" w:hanging="647"/>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1.4.3</w:t>
        <w:tab/>
        <w:t>Party B shall execute, with Party A and/or the Designee(s) (as applicable), an partnership interest transfer agreement in the form attached hereto as Annex 1 for each transfer in accordance with this Agreement and the Partnership Interest Purchase Notice;</w:t>
      </w:r>
    </w:p>
    <w:p>
      <w:pPr>
        <w:spacing w:after="0" w:line="135" w:lineRule="exact"/>
        <w:rPr>
          <w:sz w:val="20"/>
          <w:szCs w:val="20"/>
          <w:color w:val="auto"/>
        </w:rPr>
      </w:pPr>
    </w:p>
    <w:p>
      <w:pPr>
        <w:ind w:left="960" w:right="20" w:hanging="647"/>
        <w:spacing w:after="0" w:line="253" w:lineRule="auto"/>
        <w:tabs>
          <w:tab w:leader="none" w:pos="940" w:val="left"/>
        </w:tabs>
        <w:rPr>
          <w:sz w:val="20"/>
          <w:szCs w:val="20"/>
          <w:color w:val="auto"/>
        </w:rPr>
      </w:pPr>
      <w:r>
        <w:rPr>
          <w:rFonts w:ascii="Times New Roman" w:cs="Times New Roman" w:eastAsia="Times New Roman" w:hAnsi="Times New Roman"/>
          <w:sz w:val="18"/>
          <w:szCs w:val="18"/>
          <w:color w:val="auto"/>
        </w:rPr>
        <w:t>1.4.4</w:t>
        <w:tab/>
        <w:t>The relevant parties shall execute all other necessary contracts, agreements or documents, obtain all required governmental approvals and consents, and take all necessary actions to transfer good and valid title to the Purchased Partnership Interest to Party A and/or the Designee(s), free and clear of any Security Interest, and cause Party A and/or the Designee(s) to be registered as the holder(s) of the Purchased Partnership Interest. For purposes of this Section and this Agreement, “Security Interest” includes any guarantee, mortgage, pledge, third-party right or interest, option, right of acquisition, right of first refusal, right of set-off, title retention arrangement or any other security arrangement; provided, however, for the avoidance of doubt, that any Security Interest arising under this Agreement, the Party B Partnership Interest Pledge Agreement and the Party B Power of Attorney shall not be included. For purpose of this Agreement, the “Party B Partnership Interest Pledge Agreement” refers to the Partnership Interest Pledge Agreement entered into by Party A, Party B and Party C on [February 20], 2025, including any amendments, supplements or restatements thereto; and the “Party B Power of Attorney” refers to the power of attorney executed by Party B in favor of Party A on [February 20], 2025, including any amendments, supplements or restatements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Asset Purchase Option</w:t>
      </w:r>
    </w:p>
    <w:p>
      <w:pPr>
        <w:spacing w:after="0" w:line="185" w:lineRule="exact"/>
        <w:rPr>
          <w:sz w:val="20"/>
          <w:szCs w:val="20"/>
          <w:color w:val="auto"/>
        </w:rPr>
      </w:pPr>
    </w:p>
    <w:p>
      <w:pPr>
        <w:ind w:left="320" w:right="80"/>
        <w:spacing w:after="0" w:line="261" w:lineRule="auto"/>
        <w:rPr>
          <w:sz w:val="20"/>
          <w:szCs w:val="20"/>
          <w:color w:val="auto"/>
        </w:rPr>
      </w:pPr>
      <w:r>
        <w:rPr>
          <w:rFonts w:ascii="Times New Roman" w:cs="Times New Roman" w:eastAsia="Times New Roman" w:hAnsi="Times New Roman"/>
          <w:sz w:val="18"/>
          <w:szCs w:val="18"/>
          <w:color w:val="auto"/>
        </w:rPr>
        <w:t>Party C hereby grants Party A an irrevocable and exclusive option, to the extent permitted under PRC laws and regulations, exercisable at Party A’s sole discretion and in accordance with procedures determined by Party A, to purchase, or designate the Designee(s) to purchase, at any time, all or part of the assets of Party C at the lowest price permitted under PRC laws. At such time, Party A or the Designee(s) and Party C shall enter into 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20" w:top="121" w:right="1039" w:bottom="1440" w:gutter="0" w:footer="0" w:header="0"/>
        </w:sectPr>
      </w:pPr>
    </w:p>
    <w:bookmarkStart w:id="512" w:name="page513"/>
    <w:bookmarkEnd w:id="512"/>
    <w:p>
      <w:pPr>
        <w:ind w:left="652"/>
        <w:spacing w:after="0"/>
        <w:rPr>
          <w:sz w:val="20"/>
          <w:szCs w:val="20"/>
          <w:color w:val="auto"/>
        </w:rPr>
      </w:pPr>
      <w:r>
        <w:rPr>
          <w:rFonts w:ascii="Times New Roman" w:cs="Times New Roman" w:eastAsia="Times New Roman" w:hAnsi="Times New Roman"/>
          <w:sz w:val="18"/>
          <w:szCs w:val="18"/>
          <w:color w:val="auto"/>
        </w:rPr>
        <w:t>separate asset transfer agreement to set forth the terms and conditions of such asset transfer.</w:t>
      </w:r>
    </w:p>
    <w:p>
      <w:pPr>
        <w:spacing w:after="0" w:line="181" w:lineRule="exact"/>
        <w:rPr>
          <w:sz w:val="20"/>
          <w:szCs w:val="20"/>
          <w:color w:val="auto"/>
        </w:rPr>
      </w:pPr>
    </w:p>
    <w:p>
      <w:pPr>
        <w:ind w:left="332" w:hanging="332"/>
        <w:spacing w:after="0"/>
        <w:tabs>
          <w:tab w:leader="none" w:pos="332"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0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Covenants of Party C</w:t>
      </w:r>
    </w:p>
    <w:p>
      <w:pPr>
        <w:spacing w:after="0" w:line="18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Party C hereby covenants as follows:</w:t>
      </w:r>
    </w:p>
    <w:p>
      <w:pPr>
        <w:spacing w:after="0" w:line="185" w:lineRule="exact"/>
        <w:rPr>
          <w:sz w:val="20"/>
          <w:szCs w:val="20"/>
          <w:color w:val="auto"/>
        </w:rPr>
      </w:pPr>
    </w:p>
    <w:p>
      <w:pPr>
        <w:ind w:left="1292" w:right="20"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2.1.1</w:t>
        <w:tab/>
        <w:t>Without the prior written consent of Party A, Party C shall not, in any manner, supplement, amend or modify its partnership agreement, increase or decrease its capital contributions, or otherwise alter the capital contribution interests of its partners;</w:t>
      </w:r>
    </w:p>
    <w:p>
      <w:pPr>
        <w:spacing w:after="0" w:line="135" w:lineRule="exact"/>
        <w:rPr>
          <w:sz w:val="20"/>
          <w:szCs w:val="20"/>
          <w:color w:val="auto"/>
        </w:rPr>
      </w:pPr>
    </w:p>
    <w:p>
      <w:pPr>
        <w:jc w:val="both"/>
        <w:ind w:left="1292"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2.1.2</w:t>
        <w:tab/>
        <w:t>Party C shall maintain its partnership existence in accordance with good financial and business standards and practices, obtain and maintain all governmental approvals, permits and licenses necessary for its business operations, and operate its business and manage its affairs prudently and effectively;</w:t>
      </w:r>
    </w:p>
    <w:p>
      <w:pPr>
        <w:spacing w:after="0" w:line="135" w:lineRule="exact"/>
        <w:rPr>
          <w:sz w:val="20"/>
          <w:szCs w:val="20"/>
          <w:color w:val="auto"/>
        </w:rPr>
      </w:pPr>
    </w:p>
    <w:p>
      <w:pPr>
        <w:ind w:left="1292" w:right="80"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2.1.3</w:t>
        <w:tab/>
        <w:t>Without the prior written consent of Party A, Party C shall not, at any time from the date hereof, sell, transfer, mortgage or otherwise dispose of any material asset, business or lawful or beneficial interest in its revenue, nor permit any Security Interest to be created thereon;</w:t>
      </w:r>
    </w:p>
    <w:p>
      <w:pPr>
        <w:spacing w:after="0" w:line="135" w:lineRule="exact"/>
        <w:rPr>
          <w:sz w:val="20"/>
          <w:szCs w:val="20"/>
          <w:color w:val="auto"/>
        </w:rPr>
      </w:pPr>
    </w:p>
    <w:p>
      <w:pPr>
        <w:jc w:val="right"/>
        <w:ind w:left="652" w:right="120"/>
        <w:spacing w:after="0" w:line="282" w:lineRule="auto"/>
        <w:rPr>
          <w:sz w:val="20"/>
          <w:szCs w:val="20"/>
          <w:color w:val="auto"/>
        </w:rPr>
      </w:pPr>
      <w:r>
        <w:rPr>
          <w:rFonts w:ascii="Times New Roman" w:cs="Times New Roman" w:eastAsia="Times New Roman" w:hAnsi="Times New Roman"/>
          <w:sz w:val="18"/>
          <w:szCs w:val="18"/>
          <w:color w:val="auto"/>
        </w:rPr>
        <w:t>2.1.4   Without the prior written consent of Party A, Party C shall not incur, assume, guarantee or permit the existence of any indebtedness, except for accounts payable incurred in the ordinary course of business other than through borrowings;</w:t>
      </w:r>
    </w:p>
    <w:p>
      <w:pPr>
        <w:spacing w:after="0" w:line="121" w:lineRule="exact"/>
        <w:rPr>
          <w:sz w:val="20"/>
          <w:szCs w:val="20"/>
          <w:color w:val="auto"/>
        </w:rPr>
      </w:pPr>
    </w:p>
    <w:p>
      <w:pPr>
        <w:ind w:left="1292" w:right="16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2.1.5</w:t>
        <w:tab/>
        <w:t>Party C shall conduct all of its business in the ordinary course of business so as to maintain the value of its assets and shall not take or omit to take any action that may materially affect its operating condition or asset value;</w:t>
      </w:r>
    </w:p>
    <w:p>
      <w:pPr>
        <w:spacing w:after="0" w:line="121" w:lineRule="exact"/>
        <w:rPr>
          <w:sz w:val="20"/>
          <w:szCs w:val="20"/>
          <w:color w:val="auto"/>
        </w:rPr>
      </w:pPr>
    </w:p>
    <w:p>
      <w:pPr>
        <w:ind w:left="1292" w:right="320"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2.1.6</w:t>
        <w:tab/>
        <w:t>Without the prior written consent of Party A, Party C shall not enter into any material contract, except for contracts entered into in the ordinary course of business (for purposes of this paragraph, any contract with a total amount exceeding RMB 50,000 shall be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513" w:name="page514"/>
    <w:bookmarkEnd w:id="513"/>
    <w:p>
      <w:pPr>
        <w:ind w:left="840"/>
        <w:spacing w:after="0"/>
        <w:rPr>
          <w:sz w:val="20"/>
          <w:szCs w:val="20"/>
          <w:color w:val="auto"/>
        </w:rPr>
      </w:pPr>
      <w:r>
        <w:rPr>
          <w:rFonts w:ascii="Times New Roman" w:cs="Times New Roman" w:eastAsia="Times New Roman" w:hAnsi="Times New Roman"/>
          <w:sz w:val="18"/>
          <w:szCs w:val="18"/>
          <w:color w:val="auto"/>
        </w:rPr>
        <w:t>deemed a material contract);</w:t>
      </w:r>
    </w:p>
    <w:p>
      <w:pPr>
        <w:spacing w:after="0" w:line="18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provide any loan or credit to any Person;</w:t>
      </w:r>
    </w:p>
    <w:p>
      <w:pPr>
        <w:spacing w:after="0" w:line="185" w:lineRule="exact"/>
        <w:rPr>
          <w:sz w:val="20"/>
          <w:szCs w:val="20"/>
          <w:color w:val="auto"/>
        </w:rPr>
      </w:pPr>
    </w:p>
    <w:p>
      <w:pPr>
        <w:ind w:left="840" w:right="30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2.1.8</w:t>
        <w:tab/>
        <w:t>Upon request of Party A, Party C shall provide Party A with all information relating to the operations and financial condition of Party C;</w:t>
      </w:r>
    </w:p>
    <w:p>
      <w:pPr>
        <w:spacing w:after="0" w:line="121" w:lineRule="exact"/>
        <w:rPr>
          <w:sz w:val="20"/>
          <w:szCs w:val="20"/>
          <w:color w:val="auto"/>
        </w:rPr>
      </w:pPr>
    </w:p>
    <w:p>
      <w:pPr>
        <w:ind w:left="840" w:right="20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2.1.9</w:t>
        <w:tab/>
        <w:t>At the request of Party A, Party C shall procure and maintain insurance covering its assets and business with an insurance carrier acceptable to Party A, in amounts and types consistent with companies engaged in similar business operations;</w:t>
      </w:r>
    </w:p>
    <w:p>
      <w:pPr>
        <w:spacing w:after="0" w:line="135" w:lineRule="exact"/>
        <w:rPr>
          <w:sz w:val="20"/>
          <w:szCs w:val="20"/>
          <w:color w:val="auto"/>
        </w:rPr>
      </w:pPr>
    </w:p>
    <w:p>
      <w:pPr>
        <w:ind w:left="840" w:right="3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2.1.10</w:t>
        <w:tab/>
        <w:t>Without the prior written consent of Party A, Party C shall not merge or consolidate with any Person, or acquire or invest in any Person;</w:t>
      </w:r>
    </w:p>
    <w:p>
      <w:pPr>
        <w:spacing w:after="0" w:line="121" w:lineRule="exact"/>
        <w:rPr>
          <w:sz w:val="20"/>
          <w:szCs w:val="20"/>
          <w:color w:val="auto"/>
        </w:rPr>
      </w:pPr>
    </w:p>
    <w:p>
      <w:pPr>
        <w:ind w:left="840" w:right="22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2.1.11</w:t>
        <w:tab/>
        <w:t>Party C shall promptly notify Party A of any litigation, arbitration or administrative proceeding relating to its assets, business or revenue that has occurred or may occur;</w:t>
      </w:r>
    </w:p>
    <w:p>
      <w:pPr>
        <w:spacing w:after="0" w:line="121" w:lineRule="exact"/>
        <w:rPr>
          <w:sz w:val="20"/>
          <w:szCs w:val="20"/>
          <w:color w:val="auto"/>
        </w:rPr>
      </w:pPr>
    </w:p>
    <w:p>
      <w:pPr>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2.1.12</w:t>
        <w:tab/>
        <w:t>In order to maintain Party C’s ownership of all of its assets, Party C shall execute all necessary or appropriate documents, take all necessary or appropriate actions, file all necessary or appropriate claims, and make all necessary or appropriate defenses against any claims;</w:t>
      </w:r>
    </w:p>
    <w:p>
      <w:pPr>
        <w:spacing w:after="0" w:line="135" w:lineRule="exact"/>
        <w:rPr>
          <w:sz w:val="20"/>
          <w:szCs w:val="20"/>
          <w:color w:val="auto"/>
        </w:rPr>
      </w:pPr>
    </w:p>
    <w:p>
      <w:pPr>
        <w:ind w:left="840" w:right="200" w:hanging="647"/>
        <w:spacing w:after="0" w:line="312" w:lineRule="auto"/>
        <w:tabs>
          <w:tab w:leader="none" w:pos="820" w:val="left"/>
        </w:tabs>
        <w:rPr>
          <w:sz w:val="20"/>
          <w:szCs w:val="20"/>
          <w:color w:val="auto"/>
        </w:rPr>
      </w:pPr>
      <w:r>
        <w:rPr>
          <w:rFonts w:ascii="Times New Roman" w:cs="Times New Roman" w:eastAsia="Times New Roman" w:hAnsi="Times New Roman"/>
          <w:sz w:val="18"/>
          <w:szCs w:val="18"/>
          <w:color w:val="auto"/>
        </w:rPr>
        <w:t>2.1.13</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declare or distribute any dividends to its partners; provided that, upon request of Party A, Party C shall promptly distribute all of its distributable profits to its partners;</w:t>
      </w:r>
    </w:p>
    <w:p>
      <w:pPr>
        <w:spacing w:after="0" w:line="99" w:lineRule="exact"/>
        <w:rPr>
          <w:sz w:val="20"/>
          <w:szCs w:val="20"/>
          <w:color w:val="auto"/>
        </w:rPr>
      </w:pPr>
    </w:p>
    <w:p>
      <w:pPr>
        <w:ind w:left="840" w:right="8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2.1.14</w:t>
        <w:tab/>
        <w:t>Without the prior written consent of Party A, Party C shall not engage in any business that competes with the business of Party A or any of its Affiliates;</w:t>
      </w:r>
    </w:p>
    <w:p>
      <w:pPr>
        <w:spacing w:after="0" w:line="121" w:lineRule="exact"/>
        <w:rPr>
          <w:sz w:val="20"/>
          <w:szCs w:val="20"/>
          <w:color w:val="auto"/>
        </w:rPr>
      </w:pPr>
    </w:p>
    <w:p>
      <w:pPr>
        <w:ind w:left="840" w:right="1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2.1.15</w:t>
        <w:tab/>
        <w:t>Unless required by mandatory provisions of PRC Laws, Party C shall not be dissolved or liquidated without the prior written consent of Party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121" w:right="1039" w:bottom="1440" w:gutter="0" w:footer="0" w:header="0"/>
        </w:sectPr>
      </w:pPr>
    </w:p>
    <w:bookmarkStart w:id="514" w:name="page515"/>
    <w:bookmarkEnd w:id="514"/>
    <w:p>
      <w:pPr>
        <w:jc w:val="both"/>
        <w:ind w:left="960" w:right="160" w:hanging="647"/>
        <w:spacing w:after="0" w:line="261" w:lineRule="auto"/>
        <w:tabs>
          <w:tab w:leader="none" w:pos="940" w:val="left"/>
        </w:tabs>
        <w:rPr>
          <w:sz w:val="20"/>
          <w:szCs w:val="20"/>
          <w:color w:val="auto"/>
        </w:rPr>
      </w:pPr>
      <w:r>
        <w:rPr>
          <w:rFonts w:ascii="Times New Roman" w:cs="Times New Roman" w:eastAsia="Times New Roman" w:hAnsi="Times New Roman"/>
          <w:sz w:val="18"/>
          <w:szCs w:val="18"/>
          <w:color w:val="auto"/>
        </w:rPr>
        <w:t>2.1.16</w:t>
        <w:tab/>
        <w:t>The partners and/or executive partner of Party C shall not approve, without the prior written consent of Party A, any sale, transfer, mortgage or other disposition by Party B of any legal or beneficial interest in the partnership interest of Party C held by Party B, nor permit any Security Interest to be created thereon, other than any rights created pursuant to the Party B Partnership Interest Pledge Agreement and the Party B Power of Attorney; and</w:t>
      </w:r>
    </w:p>
    <w:p>
      <w:pPr>
        <w:spacing w:after="0" w:line="139" w:lineRule="exact"/>
        <w:rPr>
          <w:sz w:val="20"/>
          <w:szCs w:val="20"/>
          <w:color w:val="auto"/>
        </w:rPr>
      </w:pPr>
    </w:p>
    <w:p>
      <w:pPr>
        <w:ind w:left="960" w:right="2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2.1.17</w:t>
        <w:tab/>
        <w:t>The partners and/or executive partner of Party C shall vote in favor of the transfer of the Purchased Partnership Interest as provided under this Agreement and shall take any other actions as requested by Party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Covenants of Party B</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Party B hereby covenants as follows:</w:t>
      </w:r>
    </w:p>
    <w:p>
      <w:pPr>
        <w:spacing w:after="0" w:line="185" w:lineRule="exact"/>
        <w:rPr>
          <w:sz w:val="20"/>
          <w:szCs w:val="20"/>
          <w:color w:val="auto"/>
        </w:rPr>
      </w:pPr>
    </w:p>
    <w:p>
      <w:pPr>
        <w:ind w:left="960" w:hanging="647"/>
        <w:spacing w:after="0" w:line="261" w:lineRule="auto"/>
        <w:tabs>
          <w:tab w:leader="none" w:pos="940" w:val="left"/>
        </w:tabs>
        <w:rPr>
          <w:sz w:val="20"/>
          <w:szCs w:val="20"/>
          <w:color w:val="auto"/>
        </w:rPr>
      </w:pPr>
      <w:r>
        <w:rPr>
          <w:rFonts w:ascii="Times New Roman" w:cs="Times New Roman" w:eastAsia="Times New Roman" w:hAnsi="Times New Roman"/>
          <w:sz w:val="18"/>
          <w:szCs w:val="18"/>
          <w:color w:val="auto"/>
        </w:rPr>
        <w:t>2.2.1</w:t>
        <w:tab/>
        <w:t>Without the prior written consent of Party A, Party B shall not sell, transfer, mortgage or otherwise dispose of any legal or beneficial interest in the partnership interest of Party C held by Party B, nor permit any Security Interest to be created thereon, other than any rights created pursuant to the Party B Partnership Interest Pledge Agreement and the Party B Power of Attorney;</w:t>
      </w:r>
    </w:p>
    <w:p>
      <w:pPr>
        <w:spacing w:after="0" w:line="139" w:lineRule="exact"/>
        <w:rPr>
          <w:sz w:val="20"/>
          <w:szCs w:val="20"/>
          <w:color w:val="auto"/>
        </w:rPr>
      </w:pPr>
    </w:p>
    <w:p>
      <w:pPr>
        <w:ind w:left="960" w:right="70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2.2.2</w:t>
        <w:tab/>
        <w:t>Party B shall promptly notify Party A of any litigation, arbitration or administrative proceeding relating to the partnership interest held by Party B that has occurred or may occur;</w:t>
      </w:r>
    </w:p>
    <w:p>
      <w:pPr>
        <w:spacing w:after="0" w:line="121" w:lineRule="exact"/>
        <w:rPr>
          <w:sz w:val="20"/>
          <w:szCs w:val="20"/>
          <w:color w:val="auto"/>
        </w:rPr>
      </w:pPr>
    </w:p>
    <w:p>
      <w:pPr>
        <w:ind w:left="960" w:right="20" w:hanging="647"/>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2.2.3</w:t>
        <w:tab/>
        <w:t>In order to maintain Party B’s ownership of the partnership interest, Party B shall execute all necessary or appropriate documents, take all necessary or appropriate actions, file all necessary or appropriate claims, and make all necessary or appropriate defenses against any claims;</w:t>
      </w:r>
    </w:p>
    <w:p>
      <w:pPr>
        <w:spacing w:after="0" w:line="135" w:lineRule="exact"/>
        <w:rPr>
          <w:sz w:val="20"/>
          <w:szCs w:val="20"/>
          <w:color w:val="auto"/>
        </w:rPr>
      </w:pPr>
    </w:p>
    <w:p>
      <w:pPr>
        <w:ind w:left="960" w:right="100" w:hanging="647"/>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2.2.4</w:t>
        <w:tab/>
        <w:t>Party B hereby waives any right of first refusal it may have with respect to any transfer of partnership interest in Party C by any other partner of Party C to Party A (if any), agrees that such other partners of Party C may enter into exclusive option agreements, partnership interest pledge agreements and powers of attorney with Party A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1320" w:top="121" w:right="1019" w:bottom="1440" w:gutter="0" w:footer="0" w:header="0"/>
        </w:sectPr>
      </w:pPr>
    </w:p>
    <w:bookmarkStart w:id="515" w:name="page516"/>
    <w:bookmarkEnd w:id="515"/>
    <w:p>
      <w:pPr>
        <w:ind w:left="1292" w:right="320"/>
        <w:spacing w:after="0" w:line="282" w:lineRule="auto"/>
        <w:rPr>
          <w:sz w:val="20"/>
          <w:szCs w:val="20"/>
          <w:color w:val="auto"/>
        </w:rPr>
      </w:pPr>
      <w:r>
        <w:rPr>
          <w:rFonts w:ascii="Times New Roman" w:cs="Times New Roman" w:eastAsia="Times New Roman" w:hAnsi="Times New Roman"/>
          <w:sz w:val="18"/>
          <w:szCs w:val="18"/>
          <w:color w:val="auto"/>
        </w:rPr>
        <w:t>Party C that are substantially similar to this Agreement, the Party B Partnership Interest Pledge Agreement and the Party B Power of Attorney, and undertakes that it will not take any action that conflicts with such agreements;</w:t>
      </w:r>
    </w:p>
    <w:p>
      <w:pPr>
        <w:spacing w:after="0" w:line="121" w:lineRule="exact"/>
        <w:rPr>
          <w:sz w:val="20"/>
          <w:szCs w:val="20"/>
          <w:color w:val="auto"/>
        </w:rPr>
      </w:pPr>
    </w:p>
    <w:p>
      <w:pPr>
        <w:ind w:left="1292" w:right="6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2.2.5</w:t>
        <w:tab/>
        <w:t>To the extent permitted under PRC laws, any profits or liquidation proceeds received by Party B from Party C shall be promptly gifted to Party A or any Person designated by Party A; and</w:t>
      </w:r>
    </w:p>
    <w:p>
      <w:pPr>
        <w:spacing w:after="0" w:line="121" w:lineRule="exact"/>
        <w:rPr>
          <w:sz w:val="20"/>
          <w:szCs w:val="20"/>
          <w:color w:val="auto"/>
        </w:rPr>
      </w:pPr>
    </w:p>
    <w:p>
      <w:pPr>
        <w:ind w:left="1292" w:hanging="647"/>
        <w:spacing w:after="0" w:line="277" w:lineRule="auto"/>
        <w:tabs>
          <w:tab w:leader="none" w:pos="1271"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Party B shall strictly comply with the provisions of this Agreement and all other agreements executed by Party B and Party C jointly or separately with Party A, duly perform all obligations thereunder, and shall not take or omit to take any action that may adversely affect the validity or enforceability of such agreements. To the extent Party B retains any rights with respect to the partnership interest under this Agreement, the Party B Partnership Interest Pledge Agreement or the Party B Power of Attorney, Party B shall not exercise such rights without the written instruction of Party A.</w:t>
      </w:r>
    </w:p>
    <w:p>
      <w:pPr>
        <w:spacing w:after="0" w:line="123" w:lineRule="exact"/>
        <w:rPr>
          <w:sz w:val="20"/>
          <w:szCs w:val="20"/>
          <w:color w:val="auto"/>
        </w:rPr>
      </w:pPr>
    </w:p>
    <w:p>
      <w:pPr>
        <w:ind w:left="332" w:hanging="332"/>
        <w:spacing w:after="0"/>
        <w:tabs>
          <w:tab w:leader="none" w:pos="332"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hereby represents and warrants to Party A as of the date of this Agreement and as of each transfer date as follows:</w:t>
      </w:r>
    </w:p>
    <w:p>
      <w:pPr>
        <w:spacing w:after="0" w:line="184" w:lineRule="exact"/>
        <w:rPr>
          <w:rFonts w:ascii="Times New Roman" w:cs="Times New Roman" w:eastAsia="Times New Roman" w:hAnsi="Times New Roman"/>
          <w:sz w:val="18"/>
          <w:szCs w:val="18"/>
          <w:b w:val="1"/>
          <w:bCs w:val="1"/>
          <w:color w:val="auto"/>
        </w:rPr>
      </w:pPr>
    </w:p>
    <w:p>
      <w:pPr>
        <w:ind w:left="652" w:hanging="32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 Party B has the requisite power, capacity and authority to execute and deliver this Agreement and any partnership interest transfer agreement to be entered into by Party B pursuant to this Agreement for each transfer of the Purchased Partnership Interest (each, a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and to perform its obligations under this Agreement and any Transfer Agreement. Party B agrees that it shall execute Transfer Agreements consistent with the terms of this Agreement upon Party A’s exercise of the Partnership Interest Purchase Option. Upon execution, this Agreement and each Transfer Agreement to which Party C is a party constitute or will constitute legal, valid and binding obligations of Party C, enforceable against Party C in accordance with their respective terms;</w:t>
      </w:r>
    </w:p>
    <w:p>
      <w:pPr>
        <w:spacing w:after="0" w:line="148" w:lineRule="exact"/>
        <w:rPr>
          <w:rFonts w:ascii="Times New Roman" w:cs="Times New Roman" w:eastAsia="Times New Roman" w:hAnsi="Times New Roman"/>
          <w:sz w:val="18"/>
          <w:szCs w:val="18"/>
          <w:b w:val="1"/>
          <w:bCs w:val="1"/>
          <w:color w:val="auto"/>
        </w:rPr>
      </w:pPr>
    </w:p>
    <w:p>
      <w:pPr>
        <w:ind w:left="652" w:right="20" w:hanging="32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 Party B has good and marketable title to the partnership interest it holds in Party C, free and clear of any Security Interest, other than the partnership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21" w:right="1039" w:bottom="1440" w:gutter="0" w:footer="0" w:header="0"/>
        </w:sectPr>
      </w:pPr>
    </w:p>
    <w:bookmarkStart w:id="516" w:name="page517"/>
    <w:bookmarkEnd w:id="516"/>
    <w:p>
      <w:pPr>
        <w:ind w:left="320" w:right="40"/>
        <w:spacing w:after="0" w:line="282" w:lineRule="auto"/>
        <w:rPr>
          <w:sz w:val="20"/>
          <w:szCs w:val="20"/>
          <w:color w:val="auto"/>
        </w:rPr>
      </w:pPr>
      <w:r>
        <w:rPr>
          <w:rFonts w:ascii="Times New Roman" w:cs="Times New Roman" w:eastAsia="Times New Roman" w:hAnsi="Times New Roman"/>
          <w:sz w:val="18"/>
          <w:szCs w:val="18"/>
          <w:color w:val="auto"/>
        </w:rPr>
        <w:t>interest pledge created under the partnership interest pledge agreement entered into between Party A and Party B and the power of attorney granted by Party B to Party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hereby represents and warrants to Party A as of the date of this Agreement and as of each transfer date as follows:</w:t>
      </w:r>
    </w:p>
    <w:p>
      <w:pPr>
        <w:spacing w:after="0" w:line="198" w:lineRule="exact"/>
        <w:rPr>
          <w:sz w:val="20"/>
          <w:szCs w:val="20"/>
          <w:color w:val="auto"/>
        </w:rPr>
      </w:pPr>
    </w:p>
    <w:p>
      <w:pPr>
        <w:ind w:left="320" w:right="60" w:hanging="323"/>
        <w:spacing w:after="0" w:line="258" w:lineRule="auto"/>
        <w:rPr>
          <w:sz w:val="20"/>
          <w:szCs w:val="20"/>
          <w:color w:val="auto"/>
        </w:rPr>
      </w:pPr>
      <w:r>
        <w:rPr>
          <w:rFonts w:ascii="Times New Roman" w:cs="Times New Roman" w:eastAsia="Times New Roman" w:hAnsi="Times New Roman"/>
          <w:sz w:val="18"/>
          <w:szCs w:val="18"/>
          <w:color w:val="auto"/>
        </w:rPr>
        <w:t>3.3 Party C has the requisite power, capacity and authority to execute and deliver this Agreement and any Transfer Agreement, and to perform its obligations under this Agreement and any Transfer Agreement. Party C agrees that it shall execute Transfer Agreements consistent with the terms of this Agreement upon Party A’s exercise of the Partnership Interest Purchase Option. Upon execution, this Agreement and each Transfer Agreement to which Party B is a party constitute or will constitute legal, valid and binding obligations of Party B, enforceable against Party B in accordance with their respective terms;</w:t>
      </w:r>
    </w:p>
    <w:p>
      <w:pPr>
        <w:spacing w:after="0" w:line="143" w:lineRule="exact"/>
        <w:rPr>
          <w:sz w:val="20"/>
          <w:szCs w:val="20"/>
          <w:color w:val="auto"/>
        </w:rPr>
      </w:pPr>
    </w:p>
    <w:p>
      <w:pPr>
        <w:ind w:left="320" w:right="160" w:hanging="323"/>
        <w:spacing w:after="0" w:line="282" w:lineRule="auto"/>
        <w:rPr>
          <w:sz w:val="20"/>
          <w:szCs w:val="20"/>
          <w:color w:val="auto"/>
        </w:rPr>
      </w:pPr>
      <w:r>
        <w:rPr>
          <w:rFonts w:ascii="Times New Roman" w:cs="Times New Roman" w:eastAsia="Times New Roman" w:hAnsi="Times New Roman"/>
          <w:sz w:val="18"/>
          <w:szCs w:val="18"/>
          <w:color w:val="auto"/>
        </w:rPr>
        <w:t>3.4 Party C has obtained all necessary consents and approvals from third parties and governmental authorities (if required) for the execution, delivery and performance of this Agreement;</w:t>
      </w:r>
    </w:p>
    <w:p>
      <w:pPr>
        <w:spacing w:after="0" w:line="121" w:lineRule="exact"/>
        <w:rPr>
          <w:sz w:val="20"/>
          <w:szCs w:val="20"/>
          <w:color w:val="auto"/>
        </w:rPr>
      </w:pPr>
    </w:p>
    <w:p>
      <w:pPr>
        <w:ind w:left="320" w:hanging="323"/>
        <w:spacing w:after="0" w:line="256" w:lineRule="auto"/>
        <w:rPr>
          <w:sz w:val="20"/>
          <w:szCs w:val="20"/>
          <w:color w:val="auto"/>
        </w:rPr>
      </w:pPr>
      <w:r>
        <w:rPr>
          <w:rFonts w:ascii="Times New Roman" w:cs="Times New Roman" w:eastAsia="Times New Roman" w:hAnsi="Times New Roman"/>
          <w:sz w:val="18"/>
          <w:szCs w:val="18"/>
          <w:color w:val="auto"/>
        </w:rPr>
        <w:t>3.5 Neither the execution and delivery of this Agreement or any Transfer Agreement nor the performance of obligations hereunder or thereunder will: (i) result in a violation of any applicable PRC laws; (ii) conflict with the partnership agreement or other organizational documents of Party C; (iii) result in a breach of, or constitute a default under, any contract or instrument to which Party C is a party or by which it is bound; (iv) result in a breach of any condition applicable to the grant or continued effectiveness of any license or approval issued to Party C; or (v) result in the suspension, revocation or imposition of additional conditions on any license or approval issued to Party 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Party C has good and transferable title to all of its assets, free and clear of any Security Interest;</w:t>
      </w:r>
    </w:p>
    <w:p>
      <w:pPr>
        <w:spacing w:after="0" w:line="185" w:lineRule="exact"/>
        <w:rPr>
          <w:sz w:val="20"/>
          <w:szCs w:val="20"/>
          <w:color w:val="auto"/>
        </w:rPr>
      </w:pPr>
    </w:p>
    <w:p>
      <w:pPr>
        <w:ind w:left="320" w:right="840" w:hanging="323"/>
        <w:spacing w:after="0" w:line="282" w:lineRule="auto"/>
        <w:rPr>
          <w:sz w:val="20"/>
          <w:szCs w:val="20"/>
          <w:color w:val="auto"/>
        </w:rPr>
      </w:pPr>
      <w:r>
        <w:rPr>
          <w:rFonts w:ascii="Times New Roman" w:cs="Times New Roman" w:eastAsia="Times New Roman" w:hAnsi="Times New Roman"/>
          <w:sz w:val="18"/>
          <w:szCs w:val="18"/>
          <w:color w:val="auto"/>
        </w:rPr>
        <w:t>3.7 Party C has no outstanding indebtedness, except for (i) liabilities incurred in the ordinary course of business, and (ii) indebtedness disclosed to and approved in writing by Party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40"/>
          </w:cols>
          <w:pgMar w:left="1320" w:top="121" w:right="1039" w:bottom="1440" w:gutter="0" w:footer="0" w:header="0"/>
        </w:sectPr>
      </w:pPr>
    </w:p>
    <w:bookmarkStart w:id="517" w:name="page518"/>
    <w:bookmarkEnd w:id="517"/>
    <w:p>
      <w:pPr>
        <w:ind w:left="332"/>
        <w:spacing w:after="0"/>
        <w:rPr>
          <w:sz w:val="20"/>
          <w:szCs w:val="20"/>
          <w:color w:val="auto"/>
        </w:rPr>
      </w:pPr>
      <w:r>
        <w:rPr>
          <w:rFonts w:ascii="Times New Roman" w:cs="Times New Roman" w:eastAsia="Times New Roman" w:hAnsi="Times New Roman"/>
          <w:sz w:val="18"/>
          <w:szCs w:val="18"/>
          <w:color w:val="auto"/>
        </w:rPr>
        <w:t>3.8 Party C is in compliance with all applicable laws and regulations relating to the acquisition of assets; and</w:t>
      </w:r>
    </w:p>
    <w:p>
      <w:pPr>
        <w:spacing w:after="0" w:line="185" w:lineRule="exact"/>
        <w:rPr>
          <w:sz w:val="20"/>
          <w:szCs w:val="20"/>
          <w:color w:val="auto"/>
        </w:rPr>
      </w:pPr>
    </w:p>
    <w:p>
      <w:pPr>
        <w:ind w:left="652" w:right="180" w:hanging="323"/>
        <w:spacing w:after="0" w:line="282" w:lineRule="auto"/>
        <w:rPr>
          <w:sz w:val="20"/>
          <w:szCs w:val="20"/>
          <w:color w:val="auto"/>
        </w:rPr>
      </w:pPr>
      <w:r>
        <w:rPr>
          <w:rFonts w:ascii="Times New Roman" w:cs="Times New Roman" w:eastAsia="Times New Roman" w:hAnsi="Times New Roman"/>
          <w:sz w:val="18"/>
          <w:szCs w:val="18"/>
          <w:color w:val="auto"/>
        </w:rPr>
        <w:t>3.9 There are no pending or threatened litigation, arbitration or administrative proceedings relating to the partnership interest, the assets of Party C or Party C itself.</w:t>
      </w:r>
    </w:p>
    <w:p>
      <w:pPr>
        <w:spacing w:after="0" w:line="117" w:lineRule="exact"/>
        <w:rPr>
          <w:sz w:val="20"/>
          <w:szCs w:val="20"/>
          <w:color w:val="auto"/>
        </w:rPr>
      </w:pPr>
    </w:p>
    <w:p>
      <w:pPr>
        <w:ind w:left="332" w:hanging="332"/>
        <w:spacing w:after="0"/>
        <w:tabs>
          <w:tab w:leader="none" w:pos="332"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188" w:lineRule="exact"/>
        <w:rPr>
          <w:rFonts w:ascii="Times New Roman" w:cs="Times New Roman" w:eastAsia="Times New Roman" w:hAnsi="Times New Roman"/>
          <w:sz w:val="18"/>
          <w:szCs w:val="18"/>
          <w:b w:val="1"/>
          <w:bCs w:val="1"/>
          <w:color w:val="auto"/>
        </w:rPr>
      </w:pPr>
    </w:p>
    <w:p>
      <w:pPr>
        <w:ind w:left="33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become effective upon execution by all Parties and shall terminate when all partnership interests in Party C held by Party B and all assets of Party C have been lawfully transferred to Party A and/or its designated Person(s) in accordance with this Agreement.</w:t>
      </w:r>
    </w:p>
    <w:p>
      <w:pPr>
        <w:spacing w:after="0" w:line="144" w:lineRule="exact"/>
        <w:rPr>
          <w:rFonts w:ascii="Times New Roman" w:cs="Times New Roman" w:eastAsia="Times New Roman" w:hAnsi="Times New Roman"/>
          <w:sz w:val="18"/>
          <w:szCs w:val="18"/>
          <w:b w:val="1"/>
          <w:bCs w:val="1"/>
          <w:color w:val="auto"/>
        </w:rPr>
      </w:pPr>
    </w:p>
    <w:p>
      <w:pPr>
        <w:ind w:left="332" w:right="6480" w:hanging="332"/>
        <w:spacing w:after="0" w:line="456" w:lineRule="auto"/>
        <w:tabs>
          <w:tab w:leader="none" w:pos="332"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Governing Law and Dispute Resolution </w:t>
      </w: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Governing Law</w:t>
      </w:r>
    </w:p>
    <w:p>
      <w:pPr>
        <w:ind w:left="652" w:right="200"/>
        <w:spacing w:after="0" w:line="282" w:lineRule="auto"/>
        <w:rPr>
          <w:sz w:val="20"/>
          <w:szCs w:val="20"/>
          <w:color w:val="auto"/>
        </w:rPr>
      </w:pPr>
      <w:r>
        <w:rPr>
          <w:rFonts w:ascii="Times New Roman" w:cs="Times New Roman" w:eastAsia="Times New Roman" w:hAnsi="Times New Roman"/>
          <w:sz w:val="18"/>
          <w:szCs w:val="18"/>
          <w:color w:val="auto"/>
        </w:rPr>
        <w:t>The execution, validity, interpretation, performance, amendment and termination of this Agreement and the resolution of any disputes hereunder shall be governed by the PRC laws.</w:t>
      </w:r>
    </w:p>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Dispute Resolution</w:t>
      </w:r>
    </w:p>
    <w:p>
      <w:pPr>
        <w:spacing w:after="0" w:line="185" w:lineRule="exact"/>
        <w:rPr>
          <w:sz w:val="20"/>
          <w:szCs w:val="20"/>
          <w:color w:val="auto"/>
        </w:rPr>
      </w:pPr>
    </w:p>
    <w:p>
      <w:pPr>
        <w:ind w:left="652"/>
        <w:spacing w:after="0" w:line="258" w:lineRule="auto"/>
        <w:rPr>
          <w:sz w:val="20"/>
          <w:szCs w:val="20"/>
          <w:color w:val="auto"/>
        </w:rPr>
      </w:pPr>
      <w:r>
        <w:rPr>
          <w:rFonts w:ascii="Times New Roman" w:cs="Times New Roman" w:eastAsia="Times New Roman" w:hAnsi="Times New Roman"/>
          <w:sz w:val="18"/>
          <w:szCs w:val="18"/>
          <w:color w:val="auto"/>
        </w:rPr>
        <w:t>Any dispute arising from the interpretation or performance of this Agreement shall first be resolved through friendly consultation among the Parties. If the dispute cannot be resolved within thirty (30) days after one Party delivers a written notice requesting consultation, any Party may submit such dispute to the China International Economic and Trade Arbitration Commission (“CIETAC”) for arbitration in accordance with its arbitration rules. The arbitration shall be conducted in Shenzhen and the language of arbitration shall be Chinese. The arbitral award shall be final and binding upon the Parties.</w:t>
      </w:r>
    </w:p>
    <w:p>
      <w:pPr>
        <w:spacing w:after="0" w:line="139" w:lineRule="exact"/>
        <w:rPr>
          <w:sz w:val="20"/>
          <w:szCs w:val="20"/>
          <w:color w:val="auto"/>
        </w:rPr>
      </w:pPr>
    </w:p>
    <w:p>
      <w:pPr>
        <w:ind w:left="332" w:hanging="332"/>
        <w:spacing w:after="0"/>
        <w:tabs>
          <w:tab w:leader="none" w:pos="332"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Expenses</w:t>
      </w:r>
    </w:p>
    <w:p>
      <w:pPr>
        <w:spacing w:after="0" w:line="202" w:lineRule="exact"/>
        <w:rPr>
          <w:rFonts w:ascii="Times New Roman" w:cs="Times New Roman" w:eastAsia="Times New Roman" w:hAnsi="Times New Roman"/>
          <w:sz w:val="18"/>
          <w:szCs w:val="18"/>
          <w:b w:val="1"/>
          <w:bCs w:val="1"/>
          <w:color w:val="auto"/>
        </w:rPr>
      </w:pPr>
    </w:p>
    <w:p>
      <w:pPr>
        <w:ind w:left="332" w:right="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shall bear any and all transfer and registration taxes, costs and expenses incurred by or imposed upon the Parties in connection with the preparation and execution of this Agreement and each Transfer Agreement and the consummation of the transactions contemplated under this Agreement and each Transfer Agreement in accordance with PRC laws.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2"/>
          </w:cols>
          <w:pgMar w:left="988" w:top="121" w:right="1059" w:bottom="1440" w:gutter="0" w:footer="0" w:header="0"/>
        </w:sectPr>
      </w:pPr>
    </w:p>
    <w:bookmarkStart w:id="518" w:name="page519"/>
    <w:bookmarkEnd w:id="518"/>
    <w:p>
      <w:pPr>
        <w:ind w:left="332" w:hanging="332"/>
        <w:spacing w:after="0"/>
        <w:tabs>
          <w:tab w:leader="none" w:pos="332"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88" w:lineRule="exact"/>
        <w:rPr>
          <w:rFonts w:ascii="Times New Roman" w:cs="Times New Roman" w:eastAsia="Times New Roman" w:hAnsi="Times New Roman"/>
          <w:sz w:val="18"/>
          <w:szCs w:val="18"/>
          <w:b w:val="1"/>
          <w:bCs w:val="1"/>
          <w:color w:val="auto"/>
        </w:rPr>
      </w:pPr>
    </w:p>
    <w:p>
      <w:pPr>
        <w:ind w:left="652" w:hanging="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All notices and other communications required or permitted under this Agreement shall be delivered by hand, by registered mail (postage prepaid), by commercial courier service, or by facsimile to the addresses set forth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notice shall also be delivered by email. The effective date of delivery shall be determined as follows:</w:t>
      </w:r>
    </w:p>
    <w:p>
      <w:pPr>
        <w:spacing w:after="0" w:line="135" w:lineRule="exact"/>
        <w:rPr>
          <w:sz w:val="20"/>
          <w:szCs w:val="20"/>
          <w:color w:val="auto"/>
        </w:rPr>
      </w:pPr>
    </w:p>
    <w:p>
      <w:pPr>
        <w:ind w:left="1292" w:right="68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7.1.1</w:t>
        <w:tab/>
        <w:t>If delivered by hand, courier service or registered mail (postage prepaid), the date of receipt or rejection at the designated address shall be deemed the effective delivery date;</w:t>
      </w:r>
    </w:p>
    <w:p>
      <w:pPr>
        <w:spacing w:after="0" w:line="121" w:lineRule="exact"/>
        <w:rPr>
          <w:sz w:val="20"/>
          <w:szCs w:val="20"/>
          <w:color w:val="auto"/>
        </w:rPr>
      </w:pPr>
    </w:p>
    <w:p>
      <w:pPr>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7.1.2</w:t>
        <w:tab/>
        <w:t>If delivered by facsimile, the date of successful transmission (as evidenced by the automatically generated transmission confirmation) shall be deemed the effective delivery date.</w:t>
      </w:r>
    </w:p>
    <w:p>
      <w:pPr>
        <w:spacing w:after="0" w:line="12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7.2 Addresses for Notice</w:t>
      </w:r>
    </w:p>
    <w:p>
      <w:pPr>
        <w:spacing w:after="0" w:line="18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Party A:</w:t>
      </w:r>
    </w:p>
    <w:p>
      <w:pPr>
        <w:spacing w:after="0" w:line="27" w:lineRule="exact"/>
        <w:rPr>
          <w:sz w:val="20"/>
          <w:szCs w:val="20"/>
          <w:color w:val="auto"/>
        </w:rPr>
      </w:pPr>
    </w:p>
    <w:p>
      <w:pPr>
        <w:ind w:left="652" w:right="260"/>
        <w:spacing w:after="0" w:line="260" w:lineRule="auto"/>
        <w:rPr>
          <w:sz w:val="20"/>
          <w:szCs w:val="20"/>
          <w:color w:val="auto"/>
        </w:rPr>
      </w:pPr>
      <w:r>
        <w:rPr>
          <w:rFonts w:ascii="Times New Roman" w:cs="Times New Roman" w:eastAsia="Times New Roman" w:hAnsi="Times New Roman"/>
          <w:sz w:val="18"/>
          <w:szCs w:val="18"/>
          <w:color w:val="auto"/>
        </w:rPr>
        <w:t>Address: [Room 0610-E12, Port Building, Maritime Center, No. 59 Linhai Avenue, Nanshan Subdistrict, Qianhai Shenzhen-Hongkong Modern Service Industry Cooperation Zone, Shenzhen] Attn: [Wu Kening]</w:t>
      </w:r>
    </w:p>
    <w:p>
      <w:pPr>
        <w:spacing w:after="0" w:line="37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Party B:</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Address: [Room 2-2-501, Fenggang Garden, No. 22 Jinhu Road, Luohu District, Shenzhen]</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Attn: [Wu Kening]</w:t>
      </w:r>
    </w:p>
    <w:p>
      <w:pPr>
        <w:spacing w:after="0" w:line="16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Party C:</w:t>
      </w:r>
    </w:p>
    <w:p>
      <w:pPr>
        <w:spacing w:after="0" w:line="27" w:lineRule="exact"/>
        <w:rPr>
          <w:sz w:val="20"/>
          <w:szCs w:val="20"/>
          <w:color w:val="auto"/>
        </w:rPr>
      </w:pPr>
    </w:p>
    <w:p>
      <w:pPr>
        <w:ind w:left="652" w:right="440"/>
        <w:spacing w:after="0" w:line="260" w:lineRule="auto"/>
        <w:rPr>
          <w:sz w:val="20"/>
          <w:szCs w:val="20"/>
          <w:color w:val="auto"/>
        </w:rPr>
      </w:pPr>
      <w:r>
        <w:rPr>
          <w:rFonts w:ascii="Times New Roman" w:cs="Times New Roman" w:eastAsia="Times New Roman" w:hAnsi="Times New Roman"/>
          <w:sz w:val="18"/>
          <w:szCs w:val="18"/>
          <w:color w:val="auto"/>
        </w:rPr>
        <w:t>Address: [Room 1402-29, Building 1, Shenzhen Software Industry Base, Nos. 81, 83, 85 Gaoxin South 10th Road, Binhai Community, Yuehai Subdistrict, Nanshan District, Shenzhen] Attn: [Wu Kening]</w:t>
      </w:r>
    </w:p>
    <w:p>
      <w:pPr>
        <w:spacing w:after="0" w:line="35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7.3 Any Party may change its address for notice by delivering notice to the other Parties in accordance with this Section.</w:t>
      </w:r>
    </w:p>
    <w:p>
      <w:pPr>
        <w:spacing w:after="0" w:line="181" w:lineRule="exact"/>
        <w:rPr>
          <w:sz w:val="20"/>
          <w:szCs w:val="20"/>
          <w:color w:val="auto"/>
        </w:rPr>
      </w:pPr>
    </w:p>
    <w:p>
      <w:pPr>
        <w:ind w:left="332" w:hanging="332"/>
        <w:spacing w:after="0"/>
        <w:tabs>
          <w:tab w:leader="none" w:pos="332"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117" w:right="1019" w:bottom="1440" w:gutter="0" w:footer="0" w:header="0"/>
        </w:sectPr>
      </w:pPr>
    </w:p>
    <w:bookmarkStart w:id="519" w:name="page520"/>
    <w:bookmarkEnd w:id="519"/>
    <w:p>
      <w:pPr>
        <w:ind w:left="332"/>
        <w:spacing w:after="0" w:line="253" w:lineRule="auto"/>
        <w:rPr>
          <w:sz w:val="20"/>
          <w:szCs w:val="20"/>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shareholders/partners,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shareholders/partners, directors, employees or engaged institutions shall be deemed a breach by such Party, which shall bear liability for breach in accordance with this Agreement.</w:t>
      </w:r>
    </w:p>
    <w:p>
      <w:pPr>
        <w:spacing w:after="0" w:line="150" w:lineRule="exact"/>
        <w:rPr>
          <w:sz w:val="20"/>
          <w:szCs w:val="20"/>
          <w:color w:val="auto"/>
        </w:rPr>
      </w:pPr>
    </w:p>
    <w:p>
      <w:pPr>
        <w:ind w:left="332" w:hanging="332"/>
        <w:spacing w:after="0"/>
        <w:tabs>
          <w:tab w:leader="none" w:pos="332"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p>
    <w:p>
      <w:pPr>
        <w:spacing w:after="0" w:line="202" w:lineRule="exact"/>
        <w:rPr>
          <w:rFonts w:ascii="Times New Roman" w:cs="Times New Roman" w:eastAsia="Times New Roman" w:hAnsi="Times New Roman"/>
          <w:sz w:val="18"/>
          <w:szCs w:val="18"/>
          <w:b w:val="1"/>
          <w:bCs w:val="1"/>
          <w:color w:val="auto"/>
        </w:rPr>
      </w:pPr>
    </w:p>
    <w:p>
      <w:pPr>
        <w:ind w:left="332"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promptly execute all documents and take all further actions reasonably necessary or desirable to carry out the provisions and purposes of this Agreement.</w:t>
      </w:r>
    </w:p>
    <w:p>
      <w:pPr>
        <w:spacing w:after="0" w:line="11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Breach</w:t>
      </w:r>
    </w:p>
    <w:p>
      <w:pPr>
        <w:spacing w:after="0" w:line="188" w:lineRule="exact"/>
        <w:rPr>
          <w:rFonts w:ascii="Times New Roman" w:cs="Times New Roman" w:eastAsia="Times New Roman" w:hAnsi="Times New Roman"/>
          <w:sz w:val="18"/>
          <w:szCs w:val="18"/>
          <w:b w:val="1"/>
          <w:bCs w:val="1"/>
          <w:color w:val="auto"/>
        </w:rPr>
      </w:pPr>
    </w:p>
    <w:p>
      <w:pPr>
        <w:ind w:left="972" w:right="1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Subject to Section 10.3, if Party B or Party C materially breaches any provision of this Agreement, Party A shall have the right to terminate this Agreement and/or require Party B or Party C to compensate for damages. Subject to Section 10.3, this Section 10 shall not prejudice any other rights of Party A under this Agreement.</w:t>
      </w:r>
    </w:p>
    <w:p>
      <w:pPr>
        <w:spacing w:after="0" w:line="135" w:lineRule="exact"/>
        <w:rPr>
          <w:rFonts w:ascii="Times New Roman" w:cs="Times New Roman" w:eastAsia="Times New Roman" w:hAnsi="Times New Roman"/>
          <w:sz w:val="18"/>
          <w:szCs w:val="18"/>
          <w:b w:val="1"/>
          <w:bCs w:val="1"/>
          <w:color w:val="auto"/>
        </w:rPr>
      </w:pPr>
    </w:p>
    <w:p>
      <w:pPr>
        <w:ind w:left="972" w:right="2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Except as otherwise required by law, Party B and Party C shall not have any right to terminate or rescind this Agreement under any circumstances.</w:t>
      </w:r>
    </w:p>
    <w:p>
      <w:pPr>
        <w:spacing w:after="0" w:line="121" w:lineRule="exact"/>
        <w:rPr>
          <w:rFonts w:ascii="Times New Roman" w:cs="Times New Roman" w:eastAsia="Times New Roman" w:hAnsi="Times New Roman"/>
          <w:sz w:val="18"/>
          <w:szCs w:val="18"/>
          <w:b w:val="1"/>
          <w:bCs w:val="1"/>
          <w:color w:val="auto"/>
        </w:rPr>
      </w:pPr>
    </w:p>
    <w:p>
      <w:pPr>
        <w:ind w:left="972" w:right="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Notwithstanding any contrary provision in this Agreement, the Party B Partnership Interest Pledge Agreement, the Party B Power of Attorney,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52"/>
          </w:cols>
          <w:pgMar w:left="988" w:top="121" w:right="1059" w:bottom="1440" w:gutter="0" w:footer="0" w:header="0"/>
        </w:sectPr>
      </w:pPr>
    </w:p>
    <w:bookmarkStart w:id="520" w:name="page521"/>
    <w:bookmarkEnd w:id="520"/>
    <w:p>
      <w:pPr>
        <w:ind w:left="972"/>
        <w:spacing w:after="0" w:line="256" w:lineRule="auto"/>
        <w:rPr>
          <w:sz w:val="20"/>
          <w:szCs w:val="20"/>
          <w:color w:val="auto"/>
        </w:rPr>
      </w:pPr>
      <w:r>
        <w:rPr>
          <w:rFonts w:ascii="Times New Roman" w:cs="Times New Roman" w:eastAsia="Times New Roman" w:hAnsi="Times New Roman"/>
          <w:sz w:val="18"/>
          <w:szCs w:val="18"/>
          <w:color w:val="auto"/>
        </w:rPr>
        <w:t>any other Transaction Document (as defined in the Party B Partnership Interest Pledge Agreement), or any applicable law, in the event of any breach by Party B of any representation, warranty, covenant, undertaking, agreement or condition under this Agreement, the Party B Partnership Interest Pledge Agreement, the Party B Power of Attorney or any other Transaction Document, Party A’s sole remedy shall be limited to exercising its pledge rights over the partnership interests in Party C held by Party B pursuant to Section 8 of the Party B Partnership Interest Pledge Agreement, and Party B shall not bear any compensation or other liability to Party A or any other Person.</w:t>
      </w:r>
    </w:p>
    <w:p>
      <w:pPr>
        <w:spacing w:after="0" w:line="143" w:lineRule="exact"/>
        <w:rPr>
          <w:sz w:val="20"/>
          <w:szCs w:val="20"/>
          <w:color w:val="auto"/>
        </w:rPr>
      </w:pPr>
    </w:p>
    <w:p>
      <w:pPr>
        <w:ind w:left="332" w:hanging="332"/>
        <w:spacing w:after="0"/>
        <w:tabs>
          <w:tab w:leader="none" w:pos="332"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0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7"/>
          <w:szCs w:val="17"/>
          <w:u w:val="single" w:color="auto"/>
          <w:color w:val="auto"/>
        </w:rPr>
        <w:t>Amendment, Modification and Supplement</w:t>
      </w:r>
    </w:p>
    <w:p>
      <w:pPr>
        <w:spacing w:after="0" w:line="184" w:lineRule="exact"/>
        <w:rPr>
          <w:rFonts w:ascii="Times New Roman" w:cs="Times New Roman" w:eastAsia="Times New Roman" w:hAnsi="Times New Roman"/>
          <w:sz w:val="18"/>
          <w:szCs w:val="18"/>
          <w:b w:val="1"/>
          <w:bCs w:val="1"/>
          <w:color w:val="auto"/>
        </w:rPr>
      </w:pPr>
    </w:p>
    <w:p>
      <w:pPr>
        <w:ind w:left="332" w:right="680" w:firstLine="648"/>
        <w:spacing w:after="0" w:line="4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amendment, modification or supplement to this Agreement shall be made in writing and signed by all Parties. 11.2 </w:t>
      </w:r>
      <w:r>
        <w:rPr>
          <w:rFonts w:ascii="Times New Roman" w:cs="Times New Roman" w:eastAsia="Times New Roman" w:hAnsi="Times New Roman"/>
          <w:sz w:val="18"/>
          <w:szCs w:val="18"/>
          <w:u w:val="single" w:color="auto"/>
          <w:color w:val="auto"/>
        </w:rPr>
        <w:t>Entire Agreement</w:t>
      </w:r>
    </w:p>
    <w:p>
      <w:pPr>
        <w:spacing w:after="0" w:line="1" w:lineRule="exact"/>
        <w:rPr>
          <w:sz w:val="20"/>
          <w:szCs w:val="20"/>
          <w:color w:val="auto"/>
        </w:rPr>
      </w:pPr>
    </w:p>
    <w:p>
      <w:pPr>
        <w:ind w:left="972" w:right="160"/>
        <w:spacing w:after="0" w:line="266" w:lineRule="auto"/>
        <w:rPr>
          <w:sz w:val="20"/>
          <w:szCs w:val="20"/>
          <w:color w:val="auto"/>
        </w:rPr>
      </w:pPr>
      <w:r>
        <w:rPr>
          <w:rFonts w:ascii="Times New Roman" w:cs="Times New Roman" w:eastAsia="Times New Roman" w:hAnsi="Times New Roman"/>
          <w:sz w:val="18"/>
          <w:szCs w:val="18"/>
          <w:color w:val="auto"/>
        </w:rPr>
        <w:t>Except for any written amendment, supplement or modification executed after the date hereof, this Agreement constitutes the entire agreement among the Parties with respect to the subject matter hereof and supersedes all prior oral or written negotiations, representations and agreements relating thereto.</w:t>
      </w:r>
    </w:p>
    <w:p>
      <w:pPr>
        <w:spacing w:after="0" w:line="135"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Headings</w:t>
      </w:r>
    </w:p>
    <w:p>
      <w:pPr>
        <w:spacing w:after="0" w:line="185" w:lineRule="exact"/>
        <w:rPr>
          <w:sz w:val="20"/>
          <w:szCs w:val="20"/>
          <w:color w:val="auto"/>
        </w:rPr>
      </w:pPr>
    </w:p>
    <w:p>
      <w:pPr>
        <w:ind w:left="972" w:right="680"/>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for convenience of reference only and shall not affect the interpretation of any provision hereof.</w:t>
      </w:r>
    </w:p>
    <w:p>
      <w:pPr>
        <w:spacing w:after="0" w:line="135"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Language</w:t>
      </w:r>
    </w:p>
    <w:p>
      <w:pPr>
        <w:spacing w:after="0" w:line="185" w:lineRule="exact"/>
        <w:rPr>
          <w:sz w:val="20"/>
          <w:szCs w:val="20"/>
          <w:color w:val="auto"/>
        </w:rPr>
      </w:pPr>
    </w:p>
    <w:p>
      <w:pPr>
        <w:ind w:left="972" w:right="140"/>
        <w:spacing w:after="0" w:line="282" w:lineRule="auto"/>
        <w:rPr>
          <w:sz w:val="20"/>
          <w:szCs w:val="20"/>
          <w:color w:val="auto"/>
        </w:rPr>
      </w:pPr>
      <w:r>
        <w:rPr>
          <w:rFonts w:ascii="Times New Roman" w:cs="Times New Roman" w:eastAsia="Times New Roman" w:hAnsi="Times New Roman"/>
          <w:sz w:val="18"/>
          <w:szCs w:val="18"/>
          <w:color w:val="auto"/>
        </w:rPr>
        <w:t>This Agreement is executed in three (3) originals, with each Party holding one original, and each original shall have equal legal effect.</w:t>
      </w:r>
    </w:p>
    <w:p>
      <w:pPr>
        <w:spacing w:after="0" w:line="117"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7"/>
          <w:szCs w:val="17"/>
          <w:u w:val="single" w:color="auto"/>
          <w:color w:val="auto"/>
        </w:rPr>
        <w:t>Severability</w:t>
      </w:r>
    </w:p>
    <w:p>
      <w:pPr>
        <w:spacing w:after="0" w:line="193" w:lineRule="exact"/>
        <w:rPr>
          <w:sz w:val="20"/>
          <w:szCs w:val="20"/>
          <w:color w:val="auto"/>
        </w:rPr>
      </w:pPr>
    </w:p>
    <w:p>
      <w:pPr>
        <w:ind w:left="972" w:right="180"/>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521" w:name="page522"/>
    <w:bookmarkEnd w:id="521"/>
    <w:p>
      <w:pPr>
        <w:ind w:left="640" w:right="240"/>
        <w:spacing w:after="0" w:line="266" w:lineRule="auto"/>
        <w:rPr>
          <w:sz w:val="20"/>
          <w:szCs w:val="20"/>
          <w:color w:val="auto"/>
        </w:rPr>
      </w:pPr>
      <w:r>
        <w:rPr>
          <w:rFonts w:ascii="Times New Roman" w:cs="Times New Roman" w:eastAsia="Times New Roman" w:hAnsi="Times New Roman"/>
          <w:sz w:val="18"/>
          <w:szCs w:val="18"/>
          <w:color w:val="auto"/>
        </w:rPr>
        <w:t>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7"/>
          <w:szCs w:val="17"/>
          <w:u w:val="single" w:color="auto"/>
          <w:color w:val="auto"/>
        </w:rPr>
        <w:t>Successors</w:t>
      </w:r>
    </w:p>
    <w:p>
      <w:pPr>
        <w:spacing w:after="0" w:line="193" w:lineRule="exact"/>
        <w:rPr>
          <w:sz w:val="20"/>
          <w:szCs w:val="20"/>
          <w:color w:val="auto"/>
        </w:rPr>
      </w:pPr>
    </w:p>
    <w:p>
      <w:pPr>
        <w:ind w:left="640" w:right="18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respective successors and permitted assigns of the Parties.</w:t>
      </w:r>
    </w:p>
    <w:p>
      <w:pPr>
        <w:spacing w:after="0" w:line="1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8"/>
          <w:szCs w:val="18"/>
          <w:u w:val="single" w:color="auto"/>
          <w:color w:val="auto"/>
        </w:rPr>
        <w:t>Survival</w:t>
      </w:r>
    </w:p>
    <w:p>
      <w:pPr>
        <w:spacing w:after="0" w:line="180" w:lineRule="exact"/>
        <w:rPr>
          <w:sz w:val="20"/>
          <w:szCs w:val="20"/>
          <w:color w:val="auto"/>
        </w:rPr>
      </w:pPr>
    </w:p>
    <w:p>
      <w:pPr>
        <w:ind w:left="1280" w:right="38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11.7.1</w:t>
        <w:tab/>
        <w:t>Any obligations incurred or accrued under this Agreement prior to its expiration or earlier termination shall survive such expiration or termination.</w:t>
      </w:r>
    </w:p>
    <w:p>
      <w:pPr>
        <w:spacing w:after="0" w:line="12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11.7.2</w:t>
        <w:tab/>
        <w:t>The provisions of Sections 5, 8, 10 and this Section 11.7 shall survive the termination of this Agreement.</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7"/>
          <w:szCs w:val="17"/>
          <w:u w:val="single" w:color="auto"/>
          <w:color w:val="auto"/>
        </w:rPr>
        <w:t>Waiver</w:t>
      </w:r>
    </w:p>
    <w:p>
      <w:pPr>
        <w:spacing w:after="0" w:line="193"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Any waiver of the terms and conditions of this Agreement must be made in writing and signed by all Parties. A waiver by any Party of a breach by another Party in a particular circumstance shall not be deemed a waiver of any similar breach in any other circumstance.</w:t>
      </w:r>
    </w:p>
    <w:p>
      <w:pPr>
        <w:spacing w:after="0" w:line="1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00"/>
          </w:cols>
          <w:pgMar w:left="1320" w:top="121" w:right="1179" w:bottom="1440" w:gutter="0" w:footer="0" w:header="0"/>
        </w:sectPr>
      </w:pPr>
    </w:p>
    <w:bookmarkStart w:id="522" w:name="page523"/>
    <w:bookmarkEnd w:id="522"/>
    <w:p>
      <w:pPr>
        <w:ind w:right="159"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Kening Wu</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Kening Wu</w:t>
            </w:r>
          </w:p>
        </w:tc>
        <w:tc>
          <w:tcPr>
            <w:tcW w:w="1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523" w:name="page524"/>
    <w:bookmarkEnd w:id="523"/>
    <w:p>
      <w:pPr>
        <w:ind w:right="159"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Kening Wu</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524" w:name="page525"/>
    <w:bookmarkEnd w:id="524"/>
    <w:p>
      <w:pPr>
        <w:ind w:right="159"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Option Agreement to be duly executed by their authorized representatives as of the date first written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Zhiyi Wensi Consulting Partnership (Limited Partnership) (Seal)</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Kening Wu</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Kening Wu</w:t>
            </w:r>
          </w:p>
        </w:tc>
        <w:tc>
          <w:tcPr>
            <w:tcW w:w="1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525" w:name="page526"/>
    <w:bookmarkEnd w:id="525"/>
    <w:p>
      <w:pPr>
        <w:jc w:val="center"/>
        <w:ind w:right="19"/>
        <w:spacing w:after="0"/>
        <w:rPr>
          <w:sz w:val="20"/>
          <w:szCs w:val="20"/>
          <w:color w:val="auto"/>
        </w:rPr>
      </w:pPr>
      <w:r>
        <w:rPr>
          <w:rFonts w:ascii="Times New Roman" w:cs="Times New Roman" w:eastAsia="Times New Roman" w:hAnsi="Times New Roman"/>
          <w:sz w:val="17"/>
          <w:szCs w:val="17"/>
          <w:color w:val="auto"/>
        </w:rPr>
        <w:t>Annex 1 Partnership Interest Transfer Agreement</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526" w:name="page527"/>
    <w:bookmarkEnd w:id="526"/>
    <w:p>
      <w:pPr>
        <w:jc w:val="center"/>
        <w:spacing w:after="0"/>
        <w:rPr>
          <w:sz w:val="20"/>
          <w:szCs w:val="20"/>
          <w:color w:val="auto"/>
        </w:rPr>
      </w:pPr>
      <w:r>
        <w:rPr>
          <w:rFonts w:ascii="Times New Roman" w:cs="Times New Roman" w:eastAsia="Times New Roman" w:hAnsi="Times New Roman"/>
          <w:sz w:val="17"/>
          <w:szCs w:val="17"/>
          <w:color w:val="auto"/>
        </w:rPr>
        <w:t>Annex 1 Representations and Warranties</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60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527" w:name="page528"/>
    <w:bookmarkEnd w:id="527"/>
    <w:p>
      <w:pPr>
        <w:jc w:val="right"/>
        <w:spacing w:after="0"/>
        <w:rPr>
          <w:sz w:val="20"/>
          <w:szCs w:val="20"/>
          <w:color w:val="auto"/>
        </w:rPr>
      </w:pPr>
      <w:r>
        <w:rPr>
          <w:rFonts w:ascii="Times New Roman" w:cs="Times New Roman" w:eastAsia="Times New Roman" w:hAnsi="Times New Roman"/>
          <w:sz w:val="18"/>
          <w:szCs w:val="18"/>
          <w:b w:val="1"/>
          <w:bCs w:val="1"/>
          <w:color w:val="auto"/>
        </w:rPr>
        <w:t>Exhibit 4.40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BUSINESS COOPERATION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This Exclusive Business Cooperation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May 1, 2022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between the following parties:</w:t>
      </w:r>
    </w:p>
    <w:p>
      <w:pPr>
        <w:spacing w:after="0" w:line="15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a wholly foreign-owned enterprise duly established and validly existing under the PRC laws, with its address at Room 1606A, Building 7, Qianhai Excellence Financial Center (Phase I), Unit 2, Guiwan Area, Nanshan Subdistrict, Qianhai Shenzhen-Hong Kong Modern Service Industry Cooperation Zone, Shenzhen;</w:t>
      </w:r>
    </w:p>
    <w:p>
      <w:pPr>
        <w:spacing w:after="0" w:line="171"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B: </w:t>
      </w:r>
      <w:r>
        <w:rPr>
          <w:rFonts w:ascii="Times New Roman" w:cs="Times New Roman" w:eastAsia="Times New Roman" w:hAnsi="Times New Roman"/>
          <w:sz w:val="18"/>
          <w:szCs w:val="18"/>
          <w:b w:val="1"/>
          <w:bCs w:val="1"/>
          <w:color w:val="auto"/>
        </w:rPr>
        <w:t>Shenzhen Suqu Network Technology Co., Ltd.</w:t>
      </w:r>
      <w:r>
        <w:rPr>
          <w:rFonts w:ascii="Times New Roman" w:cs="Times New Roman" w:eastAsia="Times New Roman" w:hAnsi="Times New Roman"/>
          <w:sz w:val="18"/>
          <w:szCs w:val="18"/>
          <w:color w:val="auto"/>
        </w:rPr>
        <w:t>, a limited liability company duly established and validly existing under the PRC laws, with its address at Room 10A1014, Block AB, New Energy Building, No. 2239 Nanhai Avenue, Nanguang Community, Nanshan Subdistrict, Nanshan District, Shenzhen.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Party A and Party B are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340" w:right="20" w:hanging="332"/>
        <w:spacing w:after="0" w:line="282" w:lineRule="auto"/>
        <w:tabs>
          <w:tab w:leader="none" w:pos="3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established in the PRC and possesses the necessary resources to provide technical and consulting services;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domestic company established in the PRC. All business activities currently conducted and to be conducted by Party B during the term of this Agreement are hereinafter collectively referred to as the “</w:t>
      </w:r>
      <w:r>
        <w:rPr>
          <w:rFonts w:ascii="Times New Roman" w:cs="Times New Roman" w:eastAsia="Times New Roman" w:hAnsi="Times New Roman"/>
          <w:sz w:val="18"/>
          <w:szCs w:val="18"/>
          <w:b w:val="1"/>
          <w:bCs w:val="1"/>
          <w:color w:val="auto"/>
        </w:rPr>
        <w:t>Principal Business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agrees to utilize its technological expertise, personnel and information advantages to provide Party B with exclusive technical support, consulting and other services related to the Principal Business during the term of this Agreement, and Party B agrees to accept such services provided by Party A or its designee in accordance with the terms and conditions of this Agreement.</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ind w:left="660" w:hanging="652"/>
        <w:spacing w:after="0"/>
        <w:tabs>
          <w:tab w:leader="none" w:pos="660"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Business Cooperation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Technical Support, Consulting Services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8" w:name="page529"/>
    <w:bookmarkEnd w:id="528"/>
    <w:p>
      <w:pPr>
        <w:jc w:val="both"/>
        <w:ind w:left="150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Subject to the terms and conditions of this Agreement, Party B hereby appoints Party A as its exclusive service provider during the term of this Agreement to provide comprehensive technical support, consulting services and other services, including but not limited to:</w:t>
      </w:r>
    </w:p>
    <w:p>
      <w:pPr>
        <w:spacing w:after="0" w:line="176" w:lineRule="exact"/>
        <w:rPr>
          <w:sz w:val="20"/>
          <w:szCs w:val="20"/>
          <w:color w:val="auto"/>
        </w:rPr>
      </w:pPr>
    </w:p>
    <w:p>
      <w:pPr>
        <w:ind w:left="1500" w:hanging="656"/>
        <w:spacing w:after="0"/>
        <w:tabs>
          <w:tab w:leader="none" w:pos="15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maintenance and upgrading of relevant application software required for Party B’s business;</w:t>
      </w:r>
    </w:p>
    <w:p>
      <w:pPr>
        <w:spacing w:after="0" w:line="225"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installation, routine management, maintenance and upgrading of computer network systems, hardware equipment and databases;</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and professional training for relevant personnel of Party B;</w:t>
      </w:r>
    </w:p>
    <w:p>
      <w:pPr>
        <w:spacing w:after="0" w:line="225"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to Party B in consulting on, collecting and researching technical and market information (excluding market surveys prohibited for wholly foreign-owned enterprises under the PRC laws);</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enterprise management consulting services to Party B;</w:t>
      </w:r>
    </w:p>
    <w:p>
      <w:pPr>
        <w:spacing w:after="0" w:line="225"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related services to be provided from time to time at the request of Party B to the extent permitted under the PRC laws.</w:t>
      </w:r>
    </w:p>
    <w:p>
      <w:pPr>
        <w:spacing w:after="0" w:line="162" w:lineRule="exact"/>
        <w:rPr>
          <w:sz w:val="20"/>
          <w:szCs w:val="20"/>
          <w:color w:val="auto"/>
        </w:rPr>
      </w:pPr>
    </w:p>
    <w:p>
      <w:pPr>
        <w:jc w:val="both"/>
        <w:ind w:left="150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specific scope, methods, personnel and service fees for the services described above shall be confirmed periodically or from time to time by the Parties in accordance with the template set forth in Annex 1 Service Schedule.</w:t>
      </w:r>
    </w:p>
    <w:p>
      <w:pPr>
        <w:spacing w:after="0" w:line="176" w:lineRule="exact"/>
        <w:rPr>
          <w:sz w:val="20"/>
          <w:szCs w:val="20"/>
          <w:color w:val="auto"/>
        </w:rPr>
      </w:pPr>
    </w:p>
    <w:p>
      <w:pPr>
        <w:jc w:val="both"/>
        <w:ind w:left="1500" w:hanging="647"/>
        <w:spacing w:after="0" w:line="258" w:lineRule="auto"/>
        <w:tabs>
          <w:tab w:leader="none" w:pos="14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Party B agrees to accept the services provided by Party A. Party B further agrees that, unless otherwise agreed in writing by Party A in advance, during the term of this Agreement, Party B shall not, directly or indirectly, obtain from any third party any services identical or similar to the services contemplated under this Agreement, nor establish any similar cooperation relationship with any third party with respect to the matters contemplated herein.</w:t>
      </w:r>
    </w:p>
    <w:p>
      <w:pPr>
        <w:spacing w:after="0" w:line="183"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Intellectual Property License: Party A licenses Party B to use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29" w:name="page530"/>
    <w:bookmarkEnd w:id="529"/>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software, patents and trademarks lawfully owned by Party A. The specific content, method and scope of license, license term and license fees shall be confirmed periodically or from time to time by the Parties in accordance with the template set forth in Annex 2 Intellectual Property License Schedule.</w:t>
      </w:r>
    </w:p>
    <w:p>
      <w:pPr>
        <w:spacing w:after="0" w:line="176"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Equipment and Asset Lease: Party A shall lease equipment and assets to Party B. Based on the specific leasing arrangements, the Parties shall confirm the type, scope, lease term and rental fees of such equipment and assets periodically or from time to time in accordance with the template set forth in Annex 3 Equipment and Asset Lease Confirmation Form.</w:t>
      </w:r>
    </w:p>
    <w:p>
      <w:pPr>
        <w:spacing w:after="0" w:line="180" w:lineRule="exact"/>
        <w:rPr>
          <w:sz w:val="20"/>
          <w:szCs w:val="20"/>
          <w:color w:val="auto"/>
        </w:rPr>
      </w:pPr>
    </w:p>
    <w:p>
      <w:pPr>
        <w:jc w:val="both"/>
        <w:ind w:left="840" w:right="2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Parties agree that Party A may designate other Persons (such designated Persons may enter into agreements with Party B as described in Sections 1.1, 1.2, 1.3 and 1.5) to provide the services, licenses or leasing arrangements contemplated under this Agreement.</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left="1500" w:right="2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Party A and Party B agree that, during the term of this Agreement, Party B may, as necessary, enter into further service agreements with Party A or any Person designated by Party A to specify the details of the services, including scope, methods, personnel and fees.</w:t>
      </w:r>
    </w:p>
    <w:p>
      <w:pPr>
        <w:spacing w:after="0" w:line="176" w:lineRule="exact"/>
        <w:rPr>
          <w:sz w:val="20"/>
          <w:szCs w:val="20"/>
          <w:color w:val="auto"/>
        </w:rPr>
      </w:pPr>
    </w:p>
    <w:p>
      <w:pPr>
        <w:jc w:val="both"/>
        <w:ind w:left="1500" w:hanging="647"/>
        <w:spacing w:after="0" w:line="258" w:lineRule="auto"/>
        <w:tabs>
          <w:tab w:leader="none" w:pos="14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For the purpose of better performing this Agreement, Party A and Party B agree that, during the term of this Agreement and as business progresses, Party B shall enter into equipment or asset lease agreements or intellectual property license agreements with Party A or any Person designated by Party A as needed, pursuant to which Party A shall provide relevant equipment or assets to Party B for use or license relevant intellectual property to Party B for use.</w:t>
      </w:r>
    </w:p>
    <w:p>
      <w:pPr>
        <w:spacing w:after="0" w:line="183"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Party B hereby grants Party A an irrevocable and exclusive option, pursuant to which Party A shall have the right, to the extent permitted under the PRC laws and at its sole discretion, to purchase any part or all of Party B’s assets at the lowest price permitted under the PRC laws. The Parties shall enter into a separate asset transfer agreement to specify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30" w:name="page531"/>
    <w:bookmarkEnd w:id="530"/>
    <w:p>
      <w:pPr>
        <w:ind w:left="1300"/>
        <w:spacing w:after="0"/>
        <w:rPr>
          <w:sz w:val="20"/>
          <w:szCs w:val="20"/>
          <w:color w:val="auto"/>
        </w:rPr>
      </w:pPr>
      <w:r>
        <w:rPr>
          <w:rFonts w:ascii="Times New Roman" w:cs="Times New Roman" w:eastAsia="Times New Roman" w:hAnsi="Times New Roman"/>
          <w:sz w:val="18"/>
          <w:szCs w:val="18"/>
          <w:color w:val="auto"/>
        </w:rPr>
        <w:t>terms and conditions of such transfer.</w:t>
      </w:r>
    </w:p>
    <w:p>
      <w:pPr>
        <w:spacing w:after="0" w:line="221" w:lineRule="exact"/>
        <w:rPr>
          <w:sz w:val="20"/>
          <w:szCs w:val="20"/>
          <w:color w:val="auto"/>
        </w:rPr>
      </w:pPr>
    </w:p>
    <w:p>
      <w:pPr>
        <w:ind w:left="660" w:hanging="652"/>
        <w:spacing w:after="0"/>
        <w:tabs>
          <w:tab w:leader="none" w:pos="660"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Fees and Payment Method</w:t>
      </w:r>
    </w:p>
    <w:p>
      <w:pPr>
        <w:spacing w:after="0" w:line="229"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During the term of this Agreement, Party B shall pay Party A service fees for the services provided under Section 1.1 as follows:</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For the services provided by Party A to Party B, Party B shall pay service fees to Party A on a quarterly basis.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amount of service fees for each quarter shall be determined by Party A based on the following factors:</w:t>
      </w:r>
    </w:p>
    <w:p>
      <w:pPr>
        <w:spacing w:after="0" w:line="207" w:lineRule="exact"/>
        <w:rPr>
          <w:sz w:val="20"/>
          <w:szCs w:val="20"/>
          <w:color w:val="auto"/>
        </w:rPr>
      </w:pPr>
    </w:p>
    <w:p>
      <w:pPr>
        <w:ind w:left="1960" w:hanging="656"/>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difficulty of the services;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positions of Party A’s employees and the time required to provide such services;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content and commercial value of the services;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for similar types of services;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condition of Party B.</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However, the quarterly service fee shall not be less than ninety percent (90%) of the balance of Party B’s quarterly revenue after deducting Party B’s operating costs and expenses recognized by the Parties and losses carried forward from previous fiscal years.</w:t>
      </w:r>
    </w:p>
    <w:p>
      <w:pPr>
        <w:spacing w:after="0" w:line="176"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During the term of this Agreement, if Party A licenses intellectual property to Party B or leases equipment or assets to Party B, the license fees and rental fees shall be determined by Party A based on actual circumstances.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Party A shall have the right to unilaterally adjust the fees described in Sections 2.1 and 2.2.</w:t>
      </w:r>
    </w:p>
    <w:p>
      <w:pPr>
        <w:spacing w:after="0" w:line="221" w:lineRule="exact"/>
        <w:rPr>
          <w:sz w:val="20"/>
          <w:szCs w:val="20"/>
          <w:color w:val="auto"/>
        </w:rPr>
      </w:pPr>
    </w:p>
    <w:p>
      <w:pPr>
        <w:ind w:left="660" w:hanging="652"/>
        <w:spacing w:after="0"/>
        <w:tabs>
          <w:tab w:leader="none" w:pos="660"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and Confidentiality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3.1Party A shall exclusively own all intellectual property rights arising from or created in connection with the performance of this Agreement, including but not limited to copyrights, patent rights,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1" w:name="page532"/>
    <w:bookmarkEnd w:id="531"/>
    <w:p>
      <w:pPr>
        <w:jc w:val="both"/>
        <w:ind w:left="1292"/>
        <w:spacing w:after="0" w:line="261" w:lineRule="auto"/>
        <w:rPr>
          <w:sz w:val="20"/>
          <w:szCs w:val="20"/>
          <w:color w:val="auto"/>
        </w:rPr>
      </w:pPr>
      <w:r>
        <w:rPr>
          <w:rFonts w:ascii="Times New Roman" w:cs="Times New Roman" w:eastAsia="Times New Roman" w:hAnsi="Times New Roman"/>
          <w:sz w:val="18"/>
          <w:szCs w:val="18"/>
          <w:color w:val="auto"/>
        </w:rPr>
        <w:t>rights, software, technical secrets, trade secrets and other rights and interests. Party B shall execute all appropriate documents, take all appropriate actions, file all appropriate documents and/or applications, provide all appropriate assistance, and take all other actions deemed necessary by Party A at its sole discretion to vest such intellectual property rights, title and interests in Party A and/or perfect Party A’s protection of such intellectual property rights.</w:t>
      </w:r>
    </w:p>
    <w:p>
      <w:pPr>
        <w:spacing w:after="0" w:line="180" w:lineRule="exact"/>
        <w:rPr>
          <w:sz w:val="20"/>
          <w:szCs w:val="20"/>
          <w:color w:val="auto"/>
        </w:rPr>
      </w:pPr>
    </w:p>
    <w:p>
      <w:pPr>
        <w:jc w:val="both"/>
        <w:ind w:left="1292" w:hanging="647"/>
        <w:spacing w:after="0" w:line="253" w:lineRule="auto"/>
        <w:tabs>
          <w:tab w:leader="none" w:pos="1271"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Parties acknowledge and confirm that this Agreement, the contents hereof and any oral or written information exchanged between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88" w:lineRule="exact"/>
        <w:rPr>
          <w:sz w:val="20"/>
          <w:szCs w:val="20"/>
          <w:color w:val="auto"/>
        </w:rPr>
      </w:pPr>
    </w:p>
    <w:p>
      <w:pPr>
        <w:ind w:left="652" w:hanging="652"/>
        <w:spacing w:after="0"/>
        <w:tabs>
          <w:tab w:leader="none" w:pos="652"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229" w:lineRule="exact"/>
        <w:rPr>
          <w:sz w:val="20"/>
          <w:szCs w:val="20"/>
          <w:color w:val="auto"/>
        </w:rPr>
      </w:pPr>
    </w:p>
    <w:p>
      <w:pPr>
        <w:ind w:left="652"/>
        <w:spacing w:after="0" w:line="207" w:lineRule="exact"/>
        <w:tabs>
          <w:tab w:leader="none" w:pos="1271"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Representations, Warranties and Covenants of Party A</w:t>
      </w:r>
      <w:r>
        <w:rPr>
          <w:rFonts w:ascii="SimSun" w:cs="SimSun" w:eastAsia="SimSun" w:hAnsi="SimSun"/>
          <w:sz w:val="17"/>
          <w:szCs w:val="17"/>
          <w:color w:val="auto"/>
        </w:rPr>
        <w:t>：</w:t>
      </w:r>
    </w:p>
    <w:p>
      <w:pPr>
        <w:spacing w:after="0" w:line="252" w:lineRule="exact"/>
        <w:rPr>
          <w:sz w:val="20"/>
          <w:szCs w:val="20"/>
          <w:color w:val="auto"/>
        </w:rPr>
      </w:pPr>
    </w:p>
    <w:p>
      <w:pPr>
        <w:jc w:val="both"/>
        <w:ind w:left="1952" w:hanging="647"/>
        <w:spacing w:after="0" w:line="266" w:lineRule="auto"/>
        <w:tabs>
          <w:tab w:leader="none" w:pos="1931"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Party A is a wholly foreign-owned enterprise duly established and validly existing under the PRC laws. Party A or its designated service provider shall obtain all necessary governmental permits and licenses required for providing the services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32" w:name="page533"/>
    <w:bookmarkEnd w:id="532"/>
    <w:p>
      <w:pPr>
        <w:ind w:left="1952"/>
        <w:spacing w:after="0"/>
        <w:rPr>
          <w:sz w:val="20"/>
          <w:szCs w:val="20"/>
          <w:color w:val="auto"/>
        </w:rPr>
      </w:pPr>
      <w:r>
        <w:rPr>
          <w:rFonts w:ascii="Times New Roman" w:cs="Times New Roman" w:eastAsia="Times New Roman" w:hAnsi="Times New Roman"/>
          <w:sz w:val="18"/>
          <w:szCs w:val="18"/>
          <w:color w:val="auto"/>
        </w:rPr>
        <w:t>Agreement prior to providing such services.</w:t>
      </w:r>
    </w:p>
    <w:p>
      <w:pPr>
        <w:spacing w:after="0" w:line="225" w:lineRule="exact"/>
        <w:rPr>
          <w:sz w:val="20"/>
          <w:szCs w:val="20"/>
          <w:color w:val="auto"/>
        </w:rPr>
      </w:pPr>
    </w:p>
    <w:p>
      <w:pPr>
        <w:jc w:val="both"/>
        <w:ind w:left="1952" w:right="20" w:hanging="647"/>
        <w:spacing w:after="0" w:line="261" w:lineRule="auto"/>
        <w:tabs>
          <w:tab w:leader="none" w:pos="1931"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Party A has taken all necessary corporate actions, obtained all necessary authorizations and secured all required consents and approvals from third parties and governmental authorities (if required) for the execution, delivery and performance of this Agreement. The execution, delivery and performance of this Agreement by Party A do not violate any applicable laws or regulations.</w:t>
      </w:r>
    </w:p>
    <w:p>
      <w:pPr>
        <w:spacing w:after="0" w:line="180"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This Agreement constitutes legal, valid and binding obligations of Party A and is enforceable against Party A in accordance with its terms.</w:t>
      </w:r>
    </w:p>
    <w:p>
      <w:pPr>
        <w:spacing w:after="0" w:line="162" w:lineRule="exact"/>
        <w:rPr>
          <w:sz w:val="20"/>
          <w:szCs w:val="20"/>
          <w:color w:val="auto"/>
        </w:rPr>
      </w:pPr>
    </w:p>
    <w:p>
      <w:pPr>
        <w:ind w:left="652"/>
        <w:spacing w:after="0" w:line="207" w:lineRule="exact"/>
        <w:tabs>
          <w:tab w:leader="none" w:pos="1271"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Representations, Warranties and Covenants of Party B</w:t>
      </w:r>
      <w:r>
        <w:rPr>
          <w:rFonts w:ascii="SimSun" w:cs="SimSun" w:eastAsia="SimSun" w:hAnsi="SimSun"/>
          <w:sz w:val="17"/>
          <w:szCs w:val="17"/>
          <w:color w:val="auto"/>
        </w:rPr>
        <w:t>：</w:t>
      </w:r>
    </w:p>
    <w:p>
      <w:pPr>
        <w:spacing w:after="0" w:line="252"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Party B is a company duly established and validly existing under the PRC laws and has obtained and shall maintain all necessary governmental permits and licenses required for conducting the Principal Business.</w:t>
      </w:r>
    </w:p>
    <w:p>
      <w:pPr>
        <w:spacing w:after="0" w:line="162" w:lineRule="exact"/>
        <w:rPr>
          <w:sz w:val="20"/>
          <w:szCs w:val="20"/>
          <w:color w:val="auto"/>
        </w:rPr>
      </w:pPr>
    </w:p>
    <w:p>
      <w:pPr>
        <w:jc w:val="both"/>
        <w:ind w:left="1952" w:hanging="647"/>
        <w:spacing w:after="0" w:line="261" w:lineRule="auto"/>
        <w:tabs>
          <w:tab w:leader="none" w:pos="1931"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Party B has taken all necessary corporate actions, obtained all necessary authorizations and secured all required consents and approvals from third parties and governmental authorities (if required) for the execution, delivery and performance of this Agreement. The execution, delivery and performance of this Agreement by Party B do not violate any applicable laws or regulations.</w:t>
      </w:r>
    </w:p>
    <w:p>
      <w:pPr>
        <w:spacing w:after="0" w:line="180"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This Agreement constitutes legal, valid and binding obligations of Party B and is enforceable against Party B in accordance with its terms.</w:t>
      </w:r>
    </w:p>
    <w:p>
      <w:pPr>
        <w:spacing w:after="0" w:line="158" w:lineRule="exact"/>
        <w:rPr>
          <w:sz w:val="20"/>
          <w:szCs w:val="20"/>
          <w:color w:val="auto"/>
        </w:rPr>
      </w:pPr>
    </w:p>
    <w:p>
      <w:pPr>
        <w:ind w:left="652" w:hanging="652"/>
        <w:spacing w:after="0"/>
        <w:tabs>
          <w:tab w:leader="none" w:pos="652"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Agreement</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5.1This Agreement shall become effective upon execution by the Parties and shall remain in force permanently unless otherwise expressly provided herein or terminated by Party A in writing.</w:t>
      </w:r>
    </w:p>
    <w:p>
      <w:pPr>
        <w:spacing w:after="0" w:line="16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5.2If, during the term of this Agreement, the business term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33" w:name="page534"/>
    <w:bookmarkEnd w:id="533"/>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expires, such Party shall promptly apply for renewal of its business term so as to ensure the continued validity and performance of this Agreement. If such application for renewal is not approved or consented to by the competent authorities, this Agreement shall terminate upon the expiration of such Party’s business term.</w:t>
      </w:r>
    </w:p>
    <w:p>
      <w:pPr>
        <w:spacing w:after="0" w:line="176" w:lineRule="exact"/>
        <w:rPr>
          <w:sz w:val="20"/>
          <w:szCs w:val="20"/>
          <w:color w:val="auto"/>
        </w:rPr>
      </w:pPr>
    </w:p>
    <w:p>
      <w:pPr>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Upon termination of this Agreement, the rights and obligations of the Parties under Sections 3, 6, 7 and this Section 5.3 shall survive such termination.</w:t>
      </w:r>
    </w:p>
    <w:p>
      <w:pPr>
        <w:spacing w:after="0" w:line="158" w:lineRule="exact"/>
        <w:rPr>
          <w:sz w:val="20"/>
          <w:szCs w:val="20"/>
          <w:color w:val="auto"/>
        </w:rPr>
      </w:pPr>
    </w:p>
    <w:p>
      <w:pPr>
        <w:ind w:left="652" w:hanging="652"/>
        <w:spacing w:after="0"/>
        <w:tabs>
          <w:tab w:leader="none" w:pos="652"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execution, validity, interpretation, performance, amendment and termination of this Agreement and the resolution of any disputes arising hereunder shall be governed by the PRC laws.</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6.2Any dispute arising from the interpretation or performance of this Agreement shall first be resolved through friendly consultation between the Parties. If the dispute cannot be resolved within thirty (30) days after one Party delivers a written notice requesting consultation, any Party may submit such dispute to the China International Economic and Trade Arbitration Commission (“CIETAC”) for arbitration in accordance with its arbitration rules. The arbitration shall be conducted in Shenzhen, and the language of arbitration shall be Chinese. The arbitral award shall be final and binding upon the Parties.</w:t>
      </w:r>
    </w:p>
    <w:p>
      <w:pPr>
        <w:spacing w:after="0" w:line="187" w:lineRule="exact"/>
        <w:rPr>
          <w:rFonts w:ascii="Times New Roman" w:cs="Times New Roman" w:eastAsia="Times New Roman" w:hAnsi="Times New Roman"/>
          <w:sz w:val="18"/>
          <w:szCs w:val="18"/>
          <w:b w:val="1"/>
          <w:bCs w:val="1"/>
          <w:color w:val="auto"/>
        </w:rPr>
      </w:pPr>
    </w:p>
    <w:p>
      <w:pPr>
        <w:ind w:left="129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 and Indemnification</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7.1If Party B materially breaches any provision of this Agreement, Party A shall have the right to terminate this Agreement and/or require Party B to compensate for damages. This Section 7.1 shall not prejudice any other rights of Party A under this Agreement.</w:t>
      </w:r>
    </w:p>
    <w:p>
      <w:pPr>
        <w:spacing w:after="0" w:line="17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7.2Except as otherwise required by applicable laws, Party B shall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34" w:name="page535"/>
    <w:bookmarkEnd w:id="534"/>
    <w:p>
      <w:pPr>
        <w:ind w:left="1292"/>
        <w:spacing w:after="0"/>
        <w:rPr>
          <w:sz w:val="20"/>
          <w:szCs w:val="20"/>
          <w:color w:val="auto"/>
        </w:rPr>
      </w:pPr>
      <w:r>
        <w:rPr>
          <w:rFonts w:ascii="Times New Roman" w:cs="Times New Roman" w:eastAsia="Times New Roman" w:hAnsi="Times New Roman"/>
          <w:sz w:val="18"/>
          <w:szCs w:val="18"/>
          <w:color w:val="auto"/>
        </w:rPr>
        <w:t>any right to terminate or rescind this Agreement under any circumstances.</w:t>
      </w:r>
    </w:p>
    <w:p>
      <w:pPr>
        <w:spacing w:after="0" w:line="225" w:lineRule="exact"/>
        <w:rPr>
          <w:sz w:val="20"/>
          <w:szCs w:val="20"/>
          <w:color w:val="auto"/>
        </w:rPr>
      </w:pPr>
    </w:p>
    <w:p>
      <w:pPr>
        <w:jc w:val="both"/>
        <w:ind w:left="1292" w:hanging="647"/>
        <w:spacing w:after="0" w:line="261" w:lineRule="auto"/>
        <w:tabs>
          <w:tab w:leader="none" w:pos="1271"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Party B shall indemnify Party A against any and all losses, damages, liabilities or expenses incurred by Party A arising from or in connection with any litigation, claim or other demand against Party A in connection with the services provided by Party A to Party B under this Agreement, except to the extent that such losses, damages, liabilities or expenses arise from Party A’s gross negligence or willful misconduct. 8.</w:t>
      </w:r>
    </w:p>
    <w:p>
      <w:pPr>
        <w:spacing w:after="0" w:line="176" w:lineRule="exact"/>
        <w:rPr>
          <w:sz w:val="20"/>
          <w:szCs w:val="20"/>
          <w:color w:val="auto"/>
        </w:rPr>
      </w:pPr>
    </w:p>
    <w:p>
      <w:pPr>
        <w:ind w:left="652" w:hanging="652"/>
        <w:spacing w:after="0"/>
        <w:tabs>
          <w:tab w:leader="none" w:pos="652"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8.1If either Party is prevented from performing or is unable to fully perform this Agreement due to any earthquake, typhoon, flood, fire, epidemic, war, riot, hostile action, public disturbance, strike or any other event that is unforeseeable, unavoidable and insurmountable (“Force Majeure”), the affected Party shall not be liable for such non-performance or partial non-performance caused directly by such Force Majeure event. The affected Party shall promptly notify the other Party in writing without delay and shall provide details of the Force Majeure event within fifteen (15) days after issuing such written notice, explaining the reasons for such non-performance, partial non-performance or delay in performance.</w:t>
      </w:r>
    </w:p>
    <w:p>
      <w:pPr>
        <w:spacing w:after="0" w:line="188"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8.2If the Party claiming Force Majeure fails to notify the other Party and provide appropriate supporting evidence in accordance with the above provisions, such Party shall not be exempted from liability for failure to perform its obligations under this Agreement. The affected Party shall use reasonable efforts to mitigate the consequences of the Force Majeure event and shall resume performance of its obligations as soon as practicable after the Force Majeure event ceases. If the affected Party fails to resume performance of its obligations after the reasons for suspension of performance due to Force Majeure have ceased to exist, such Party shall bear liability to the other Party.</w:t>
      </w:r>
    </w:p>
    <w:p>
      <w:pPr>
        <w:spacing w:after="0" w:line="18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7"/>
          <w:szCs w:val="17"/>
          <w:color w:val="auto"/>
        </w:rPr>
        <w:t>Upon the occurrence of a Force Majeure event, the Parties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35" w:name="page536"/>
    <w:bookmarkEnd w:id="535"/>
    <w:p>
      <w:pPr>
        <w:ind w:left="1300"/>
        <w:spacing w:after="0" w:line="282" w:lineRule="auto"/>
        <w:rPr>
          <w:sz w:val="20"/>
          <w:szCs w:val="20"/>
          <w:color w:val="auto"/>
        </w:rPr>
      </w:pPr>
      <w:r>
        <w:rPr>
          <w:rFonts w:ascii="Times New Roman" w:cs="Times New Roman" w:eastAsia="Times New Roman" w:hAnsi="Times New Roman"/>
          <w:sz w:val="18"/>
          <w:szCs w:val="18"/>
          <w:color w:val="auto"/>
        </w:rPr>
        <w:t>immediately consult with each other to seek an equitable solution and shall use all reasonable efforts to minimize the consequences of such Force Majeure event.</w:t>
      </w:r>
    </w:p>
    <w:p>
      <w:pPr>
        <w:spacing w:after="0" w:line="158" w:lineRule="exact"/>
        <w:rPr>
          <w:sz w:val="20"/>
          <w:szCs w:val="20"/>
          <w:color w:val="auto"/>
        </w:rPr>
      </w:pPr>
    </w:p>
    <w:p>
      <w:pPr>
        <w:ind w:left="660" w:hanging="652"/>
        <w:spacing w:after="0"/>
        <w:tabs>
          <w:tab w:leader="none" w:pos="66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If delivered by hand, courier service or registered mail (postage prepaid), the date of receipt or rejection at the designated address shall be deemed the effective delivery date;</w:t>
      </w:r>
    </w:p>
    <w:p>
      <w:pPr>
        <w:spacing w:after="0" w:line="162"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If delivered by facsimile, the date of successful transmission (as evidenced by the automatically generated transmission confirmation) shall be deemed the effective delivery date.</w:t>
      </w:r>
    </w:p>
    <w:p>
      <w:pPr>
        <w:spacing w:after="0" w:line="158" w:lineRule="exact"/>
        <w:rPr>
          <w:sz w:val="20"/>
          <w:szCs w:val="20"/>
          <w:color w:val="auto"/>
        </w:rPr>
      </w:pPr>
    </w:p>
    <w:p>
      <w:pPr>
        <w:ind w:left="660" w:hanging="652"/>
        <w:spacing w:after="0"/>
        <w:tabs>
          <w:tab w:leader="none" w:pos="66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Party B shall not assign its rights or obligations under this Agreement to any third party without the prior written consent of Party A.</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Party B hereby agrees that Party A may assign its rights and obligations under this Agreement to any third party, and Party A shall only be required to provide written notice to Party B upon such assignment, and no further consent from Party B shall be required.</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6" w:name="page537"/>
    <w:bookmarkEnd w:id="536"/>
    <w:p>
      <w:pPr>
        <w:ind w:left="652"/>
        <w:spacing w:after="0" w:line="282" w:lineRule="auto"/>
        <w:rPr>
          <w:sz w:val="20"/>
          <w:szCs w:val="20"/>
          <w:color w:val="auto"/>
        </w:rPr>
      </w:pPr>
      <w:r>
        <w:rPr>
          <w:rFonts w:ascii="Times New Roman" w:cs="Times New Roman" w:eastAsia="Times New Roman" w:hAnsi="Times New Roman"/>
          <w:sz w:val="18"/>
          <w:szCs w:val="18"/>
          <w:color w:val="auto"/>
        </w:rPr>
        <w:t>Any amendment or supplement to this Agreement may be made in writing and signed by the Parties. Any such signed amendment or supplement to this Agreement shall form an integral part of this Agreement and have the same legal effect.</w:t>
      </w:r>
    </w:p>
    <w:p>
      <w:pPr>
        <w:spacing w:after="0" w:line="158" w:lineRule="exact"/>
        <w:rPr>
          <w:sz w:val="20"/>
          <w:szCs w:val="20"/>
          <w:color w:val="auto"/>
        </w:rPr>
      </w:pPr>
    </w:p>
    <w:p>
      <w:pPr>
        <w:ind w:left="652" w:hanging="652"/>
        <w:spacing w:after="0"/>
        <w:tabs>
          <w:tab w:leader="none" w:pos="652"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This Agreement is executed in two (2) originals, with each Party holding one original, and each original shall have equal legal effect.</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37" w:name="page538"/>
    <w:bookmarkEnd w:id="53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Business Cooperation Agreement to be duly executed by their authorized representatives as of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301752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Kening Wu</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Suqu Network Technology Co., Ltd. (Seal)</w:t>
      </w:r>
    </w:p>
    <w:p>
      <w:pPr>
        <w:spacing w:after="0" w:line="2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Hongfei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301752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Hongfei Jia</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color w:val="auto"/>
        </w:rPr>
        <w:t>Annex 1 Service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color w:val="auto"/>
        </w:rPr>
        <w:t>Annex 2 Intellectual Property License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color w:val="auto"/>
        </w:rPr>
        <w:t>Annex 3 Equipment and Asset Lease Confirmation Form</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41" w:name="page542"/>
    <w:bookmarkEnd w:id="541"/>
    <w:p>
      <w:pPr>
        <w:jc w:val="right"/>
        <w:spacing w:after="0"/>
        <w:rPr>
          <w:sz w:val="20"/>
          <w:szCs w:val="20"/>
          <w:color w:val="auto"/>
        </w:rPr>
      </w:pPr>
      <w:r>
        <w:rPr>
          <w:rFonts w:ascii="Times New Roman" w:cs="Times New Roman" w:eastAsia="Times New Roman" w:hAnsi="Times New Roman"/>
          <w:sz w:val="22"/>
          <w:szCs w:val="22"/>
          <w:b w:val="1"/>
          <w:bCs w:val="1"/>
          <w:color w:val="auto"/>
        </w:rPr>
        <w:t>Exhibit 4.41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BUSINESS COOPERATION AGREEMENT</w:t>
      </w:r>
    </w:p>
    <w:p>
      <w:pPr>
        <w:spacing w:after="0" w:line="206"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22"/>
          <w:szCs w:val="22"/>
          <w:color w:val="auto"/>
        </w:rPr>
        <w:t>This Exclusive Business Cooperation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on May 1, 2022 in Shenzhen, the People’s Republic of China (“</w:t>
      </w:r>
      <w:r>
        <w:rPr>
          <w:rFonts w:ascii="Times New Roman" w:cs="Times New Roman" w:eastAsia="Times New Roman" w:hAnsi="Times New Roman"/>
          <w:sz w:val="22"/>
          <w:szCs w:val="22"/>
          <w:b w:val="1"/>
          <w:bCs w:val="1"/>
          <w:color w:val="auto"/>
        </w:rPr>
        <w:t>PRC</w:t>
      </w:r>
      <w:r>
        <w:rPr>
          <w:rFonts w:ascii="Times New Roman" w:cs="Times New Roman" w:eastAsia="Times New Roman" w:hAnsi="Times New Roman"/>
          <w:sz w:val="22"/>
          <w:szCs w:val="22"/>
          <w:color w:val="auto"/>
        </w:rPr>
        <w:t>”) by and between the following parties:</w:t>
      </w:r>
    </w:p>
    <w:p>
      <w:pPr>
        <w:spacing w:after="0" w:line="150" w:lineRule="exact"/>
        <w:rPr>
          <w:sz w:val="20"/>
          <w:szCs w:val="20"/>
          <w:color w:val="auto"/>
        </w:rPr>
      </w:pPr>
    </w:p>
    <w:p>
      <w:pPr>
        <w:jc w:val="both"/>
        <w:ind w:left="980" w:hanging="971"/>
        <w:spacing w:after="0" w:line="241" w:lineRule="auto"/>
        <w:tabs>
          <w:tab w:leader="none" w:pos="960" w:val="left"/>
        </w:tabs>
        <w:rPr>
          <w:sz w:val="20"/>
          <w:szCs w:val="20"/>
          <w:color w:val="auto"/>
        </w:rPr>
      </w:pPr>
      <w:r>
        <w:rPr>
          <w:rFonts w:ascii="Times New Roman" w:cs="Times New Roman" w:eastAsia="Times New Roman" w:hAnsi="Times New Roman"/>
          <w:sz w:val="22"/>
          <w:szCs w:val="22"/>
          <w:color w:val="auto"/>
        </w:rPr>
        <w:t>Party A:</w:t>
      </w:r>
      <w:r>
        <w:rPr>
          <w:sz w:val="20"/>
          <w:szCs w:val="20"/>
          <w:color w:val="auto"/>
        </w:rPr>
        <w:tab/>
      </w:r>
      <w:r>
        <w:rPr>
          <w:rFonts w:ascii="Times New Roman" w:cs="Times New Roman" w:eastAsia="Times New Roman" w:hAnsi="Times New Roman"/>
          <w:sz w:val="22"/>
          <w:szCs w:val="22"/>
          <w:b w:val="1"/>
          <w:bCs w:val="1"/>
          <w:color w:val="auto"/>
        </w:rPr>
        <w:t>Xunlei Computer (Shenzhen) Co., Ltd.</w:t>
      </w:r>
      <w:r>
        <w:rPr>
          <w:rFonts w:ascii="Times New Roman" w:cs="Times New Roman" w:eastAsia="Times New Roman" w:hAnsi="Times New Roman"/>
          <w:sz w:val="22"/>
          <w:szCs w:val="22"/>
          <w:color w:val="auto"/>
        </w:rPr>
        <w:t>, a wholly foreign-owned enterprise duly established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validly existing under the PRC laws, with its address at Room 1606A, Building 7, Qianhai Excellence Financial Center (Phase I), Unit 2, Guiwan Area, Nanshan Subdistrict, Qianhai Shenzhen-Hong Kong Modern Service Industry Cooperation Zone, Shenzhen;</w:t>
      </w:r>
    </w:p>
    <w:p>
      <w:pPr>
        <w:spacing w:after="0" w:line="172" w:lineRule="exact"/>
        <w:rPr>
          <w:sz w:val="20"/>
          <w:szCs w:val="20"/>
          <w:color w:val="auto"/>
        </w:rPr>
      </w:pPr>
    </w:p>
    <w:p>
      <w:pPr>
        <w:jc w:val="both"/>
        <w:ind w:left="980" w:hanging="971"/>
        <w:spacing w:after="0" w:line="241" w:lineRule="auto"/>
        <w:tabs>
          <w:tab w:leader="none" w:pos="960" w:val="left"/>
        </w:tabs>
        <w:rPr>
          <w:sz w:val="20"/>
          <w:szCs w:val="20"/>
          <w:color w:val="auto"/>
        </w:rPr>
      </w:pPr>
      <w:r>
        <w:rPr>
          <w:rFonts w:ascii="Times New Roman" w:cs="Times New Roman" w:eastAsia="Times New Roman" w:hAnsi="Times New Roman"/>
          <w:sz w:val="22"/>
          <w:szCs w:val="22"/>
          <w:color w:val="auto"/>
        </w:rPr>
        <w:t>Party B:</w:t>
      </w:r>
      <w:r>
        <w:rPr>
          <w:sz w:val="20"/>
          <w:szCs w:val="20"/>
          <w:color w:val="auto"/>
        </w:rPr>
        <w:tab/>
      </w:r>
      <w:r>
        <w:rPr>
          <w:rFonts w:ascii="Times New Roman" w:cs="Times New Roman" w:eastAsia="Times New Roman" w:hAnsi="Times New Roman"/>
          <w:sz w:val="22"/>
          <w:szCs w:val="22"/>
          <w:b w:val="1"/>
          <w:bCs w:val="1"/>
          <w:color w:val="auto"/>
        </w:rPr>
        <w:t xml:space="preserve">Shenzhen Zhiyi Wensi Consulting Partnership (Limited Partnership), </w:t>
      </w:r>
      <w:r>
        <w:rPr>
          <w:rFonts w:ascii="Times New Roman" w:cs="Times New Roman" w:eastAsia="Times New Roman" w:hAnsi="Times New Roman"/>
          <w:sz w:val="22"/>
          <w:szCs w:val="22"/>
          <w:color w:val="auto"/>
        </w:rPr>
        <w:t>a limited partnership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and validly existing under the PRC laws, with its address at Room 1402-29, Building 1, Shenzhen Software Industry Base, Nos. 81, 83, 85 Gaoxin South 10th Road, Binhai Community, Yuehai Subdistrict, Nanshan District, Shenzhen</w:t>
      </w:r>
    </w:p>
    <w:p>
      <w:pPr>
        <w:spacing w:after="0" w:line="172" w:lineRule="exact"/>
        <w:rPr>
          <w:sz w:val="20"/>
          <w:szCs w:val="20"/>
          <w:color w:val="auto"/>
        </w:rPr>
      </w:pPr>
    </w:p>
    <w:p>
      <w:pPr>
        <w:ind w:right="400" w:firstLine="324"/>
        <w:spacing w:after="0" w:line="437" w:lineRule="auto"/>
        <w:rPr>
          <w:sz w:val="20"/>
          <w:szCs w:val="20"/>
          <w:color w:val="auto"/>
        </w:rPr>
      </w:pPr>
      <w:r>
        <w:rPr>
          <w:rFonts w:ascii="Times New Roman" w:cs="Times New Roman" w:eastAsia="Times New Roman" w:hAnsi="Times New Roman"/>
          <w:sz w:val="22"/>
          <w:szCs w:val="22"/>
          <w:color w:val="auto"/>
        </w:rPr>
        <w:t>Party A and Party B are hereinafter referred to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WHEREAS:</w:t>
      </w:r>
    </w:p>
    <w:p>
      <w:pPr>
        <w:spacing w:after="0" w:line="1" w:lineRule="exact"/>
        <w:rPr>
          <w:sz w:val="20"/>
          <w:szCs w:val="20"/>
          <w:color w:val="auto"/>
        </w:rPr>
      </w:pPr>
    </w:p>
    <w:p>
      <w:pPr>
        <w:ind w:left="660" w:hanging="652"/>
        <w:spacing w:after="0" w:line="258" w:lineRule="auto"/>
        <w:tabs>
          <w:tab w:leader="none" w:pos="621"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A is a wholly foreign-owned enterprise established in the PRC and possesses the necessary resources to provide technical and consulting services;</w:t>
      </w:r>
    </w:p>
    <w:p>
      <w:pPr>
        <w:spacing w:after="0" w:line="158"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21"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B is a domestic company established in the PRC. All business activities currently conducted and to be conducted by Party B during the term of this Agreement are hereinafter collectively referred to as the “</w:t>
      </w:r>
      <w:r>
        <w:rPr>
          <w:rFonts w:ascii="Times New Roman" w:cs="Times New Roman" w:eastAsia="Times New Roman" w:hAnsi="Times New Roman"/>
          <w:sz w:val="22"/>
          <w:szCs w:val="22"/>
          <w:b w:val="1"/>
          <w:bCs w:val="1"/>
          <w:color w:val="auto"/>
        </w:rPr>
        <w:t>Principal Business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21"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A agrees to utilize its technological expertise, personnel and information advantages to provide Party B with exclusive technical support, consulting and other services related to the Principal Business during the term of this Agreement, and Party B agrees to accept such services provided by Party A or its designee in accordance with the terms and conditions of this Agreement.</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NOW, THEREFORE, the Parties hereby agree as follows:</w:t>
      </w:r>
    </w:p>
    <w:p>
      <w:pPr>
        <w:spacing w:after="0" w:line="202" w:lineRule="exact"/>
        <w:rPr>
          <w:sz w:val="20"/>
          <w:szCs w:val="20"/>
          <w:color w:val="auto"/>
        </w:rPr>
      </w:pPr>
    </w:p>
    <w:p>
      <w:pPr>
        <w:ind w:left="660" w:hanging="652"/>
        <w:spacing w:after="0"/>
        <w:tabs>
          <w:tab w:leader="none" w:pos="660" w:val="left"/>
        </w:tabs>
        <w:numPr>
          <w:ilvl w:val="0"/>
          <w:numId w:val="4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of Business Cooperation</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1.1    Technical Support, Consulting Services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42" w:name="page543"/>
    <w:bookmarkEnd w:id="542"/>
    <w:p>
      <w:pPr>
        <w:jc w:val="both"/>
        <w:ind w:left="1500" w:hanging="647"/>
        <w:spacing w:after="0" w:line="261" w:lineRule="auto"/>
        <w:tabs>
          <w:tab w:leader="none" w:pos="14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Subject to the terms and conditions of this Agreement, Party B hereby appoints Party A as its exclusive service provider during the term of this Agreement to provide comprehensive technical support, consulting services and other services, including but not limited to:</w:t>
      </w:r>
    </w:p>
    <w:p>
      <w:pPr>
        <w:spacing w:after="0" w:line="157" w:lineRule="exact"/>
        <w:rPr>
          <w:sz w:val="20"/>
          <w:szCs w:val="20"/>
          <w:color w:val="auto"/>
        </w:rPr>
      </w:pPr>
    </w:p>
    <w:p>
      <w:pPr>
        <w:ind w:left="1500" w:right="20" w:hanging="656"/>
        <w:spacing w:after="0" w:line="258" w:lineRule="auto"/>
        <w:tabs>
          <w:tab w:leader="none" w:pos="150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maintenance and upgrading of relevant application software required for Party B’s business;</w:t>
      </w:r>
    </w:p>
    <w:p>
      <w:pPr>
        <w:spacing w:after="0" w:line="158" w:lineRule="exact"/>
        <w:rPr>
          <w:rFonts w:ascii="Times New Roman" w:cs="Times New Roman" w:eastAsia="Times New Roman" w:hAnsi="Times New Roman"/>
          <w:sz w:val="22"/>
          <w:szCs w:val="22"/>
          <w:color w:val="auto"/>
        </w:rPr>
      </w:pPr>
    </w:p>
    <w:p>
      <w:pPr>
        <w:ind w:left="1500" w:hanging="656"/>
        <w:spacing w:after="0" w:line="258" w:lineRule="auto"/>
        <w:tabs>
          <w:tab w:leader="none" w:pos="150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 installation, routine management, maintenance and upgrading of computer network systems, hardware equipment and databases;</w:t>
      </w:r>
    </w:p>
    <w:p>
      <w:pPr>
        <w:spacing w:after="0" w:line="158"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support and professional training for relevant personnel of Party B;</w:t>
      </w:r>
    </w:p>
    <w:p>
      <w:pPr>
        <w:spacing w:after="0" w:line="206" w:lineRule="exact"/>
        <w:rPr>
          <w:rFonts w:ascii="Times New Roman" w:cs="Times New Roman" w:eastAsia="Times New Roman" w:hAnsi="Times New Roman"/>
          <w:sz w:val="22"/>
          <w:szCs w:val="22"/>
          <w:color w:val="auto"/>
        </w:rPr>
      </w:pPr>
    </w:p>
    <w:p>
      <w:pPr>
        <w:jc w:val="both"/>
        <w:ind w:left="1500" w:hanging="656"/>
        <w:spacing w:after="0" w:line="244" w:lineRule="auto"/>
        <w:tabs>
          <w:tab w:leader="none" w:pos="150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to Party B in consulting on, collecting and researching technical and market information (excluding market surveys prohibited for wholly foreign-owned enterprises under the PRC laws);</w:t>
      </w:r>
    </w:p>
    <w:p>
      <w:pPr>
        <w:spacing w:after="0" w:line="173"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of enterprise management consulting services to Party B;</w:t>
      </w:r>
    </w:p>
    <w:p>
      <w:pPr>
        <w:spacing w:after="0" w:line="206" w:lineRule="exact"/>
        <w:rPr>
          <w:rFonts w:ascii="Times New Roman" w:cs="Times New Roman" w:eastAsia="Times New Roman" w:hAnsi="Times New Roman"/>
          <w:sz w:val="22"/>
          <w:szCs w:val="22"/>
          <w:color w:val="auto"/>
        </w:rPr>
      </w:pPr>
    </w:p>
    <w:p>
      <w:pPr>
        <w:ind w:left="1500" w:hanging="656"/>
        <w:spacing w:after="0" w:line="258" w:lineRule="auto"/>
        <w:tabs>
          <w:tab w:leader="none" w:pos="150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related services to be provided from time to time at the request of Party B to the extent permitted under the PRC laws.</w:t>
      </w:r>
    </w:p>
    <w:p>
      <w:pPr>
        <w:spacing w:after="0" w:line="158" w:lineRule="exact"/>
        <w:rPr>
          <w:sz w:val="20"/>
          <w:szCs w:val="20"/>
          <w:color w:val="auto"/>
        </w:rPr>
      </w:pPr>
    </w:p>
    <w:p>
      <w:pPr>
        <w:jc w:val="both"/>
        <w:ind w:left="1500" w:hanging="647"/>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1.1.2</w:t>
        <w:tab/>
        <w:t>The specific scope, methods, personnel and service fees for the services described above shall be confirmed periodically or from time to time by the Parties in accordance with the template set forth in Annex 1 Service Schedule.</w:t>
      </w:r>
    </w:p>
    <w:p>
      <w:pPr>
        <w:spacing w:after="0" w:line="173" w:lineRule="exact"/>
        <w:rPr>
          <w:sz w:val="20"/>
          <w:szCs w:val="20"/>
          <w:color w:val="auto"/>
        </w:rPr>
      </w:pPr>
    </w:p>
    <w:p>
      <w:pPr>
        <w:jc w:val="both"/>
        <w:ind w:left="1500" w:hanging="647"/>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1.1.3</w:t>
        <w:tab/>
        <w:t>Party B agrees to accept the services provided by Party A. Party B further agrees that, unless otherwise agreed in writing by Party A in advance, during the term of this Agreement, Party B shall not, directly or indirectly, obtain from any third party any services identical or similar to the services contemplated under this Agreement, nor establish any similar cooperation relationship with any third party with respect to the matters contemplated herein.</w:t>
      </w:r>
    </w:p>
    <w:p>
      <w:pPr>
        <w:spacing w:after="0" w:line="181"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Intellectual Property License: Party A licenses Party B to use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543" w:name="page544"/>
    <w:bookmarkEnd w:id="543"/>
    <w:p>
      <w:pPr>
        <w:jc w:val="both"/>
        <w:ind w:left="840"/>
        <w:spacing w:after="0" w:line="239" w:lineRule="auto"/>
        <w:rPr>
          <w:sz w:val="20"/>
          <w:szCs w:val="20"/>
          <w:color w:val="auto"/>
        </w:rPr>
      </w:pPr>
      <w:r>
        <w:rPr>
          <w:rFonts w:ascii="Times New Roman" w:cs="Times New Roman" w:eastAsia="Times New Roman" w:hAnsi="Times New Roman"/>
          <w:sz w:val="22"/>
          <w:szCs w:val="22"/>
          <w:color w:val="auto"/>
        </w:rPr>
        <w:t>software, patents and trademarks lawfully owned by Party A. The specific content, method and scope of license, license term and license fees shall be confirmed periodically or from time to time by the Parties in accordance with the template set forth in Annex 2 Intellectual Property License Schedule.</w:t>
      </w:r>
    </w:p>
    <w:p>
      <w:pPr>
        <w:spacing w:after="0" w:line="181" w:lineRule="exact"/>
        <w:rPr>
          <w:sz w:val="20"/>
          <w:szCs w:val="20"/>
          <w:color w:val="auto"/>
        </w:rPr>
      </w:pPr>
    </w:p>
    <w:p>
      <w:pPr>
        <w:jc w:val="both"/>
        <w:ind w:left="840" w:hanging="647"/>
        <w:spacing w:after="0" w:line="239" w:lineRule="auto"/>
        <w:tabs>
          <w:tab w:leader="none" w:pos="8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Equipment and Asset Lease: Party A shall lease equipment and assets to Party B. Based on the specific leasing arrangements, the Parties shall confirm the type, scope, lease term and rental fees of such equipment and assets periodically or from time to time in accordance with the template set forth in Annex 3 Equipment and Asset Lease Confirmation Form.</w:t>
      </w:r>
    </w:p>
    <w:p>
      <w:pPr>
        <w:spacing w:after="0" w:line="180" w:lineRule="exact"/>
        <w:rPr>
          <w:sz w:val="20"/>
          <w:szCs w:val="20"/>
          <w:color w:val="auto"/>
        </w:rPr>
      </w:pPr>
    </w:p>
    <w:p>
      <w:pPr>
        <w:jc w:val="both"/>
        <w:ind w:left="840" w:hanging="647"/>
        <w:spacing w:after="0" w:line="244" w:lineRule="auto"/>
        <w:tabs>
          <w:tab w:leader="none" w:pos="8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The Parties agree that Party A may designate other Persons (such designated Persons may enter into agreements with Party B as described in Sections 1.1, 1.2, 1.3 and 1.5) to provide the services, licenses or leasing arrangements contemplated under this Agreement.</w:t>
      </w:r>
    </w:p>
    <w:p>
      <w:pPr>
        <w:spacing w:after="0" w:line="173"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Miscellaneous</w:t>
      </w:r>
    </w:p>
    <w:p>
      <w:pPr>
        <w:spacing w:after="0" w:line="206" w:lineRule="exact"/>
        <w:rPr>
          <w:sz w:val="20"/>
          <w:szCs w:val="20"/>
          <w:color w:val="auto"/>
        </w:rPr>
      </w:pPr>
    </w:p>
    <w:p>
      <w:pPr>
        <w:jc w:val="both"/>
        <w:ind w:left="1500" w:hanging="647"/>
        <w:spacing w:after="0" w:line="261" w:lineRule="auto"/>
        <w:tabs>
          <w:tab w:leader="none" w:pos="148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Party A and Party B agree that, during the term of this Agreement, Party B may, as necessary, enter into further service agreements with Party A or any Person designated by Party A to specify the details of the services, including scope, methods, personnel and fees.</w:t>
      </w:r>
    </w:p>
    <w:p>
      <w:pPr>
        <w:spacing w:after="0" w:line="157" w:lineRule="exact"/>
        <w:rPr>
          <w:sz w:val="20"/>
          <w:szCs w:val="20"/>
          <w:color w:val="auto"/>
        </w:rPr>
      </w:pPr>
    </w:p>
    <w:p>
      <w:pPr>
        <w:jc w:val="both"/>
        <w:ind w:left="1500" w:hanging="647"/>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1.5.2</w:t>
        <w:tab/>
        <w:t>For the purpose of better performing this Agreement, Party A and Party B agree that, during the term of this Agreement and as business progresses, Party B shall enter into equipment or asset lease agreements or intellectual property license agreements with Party A or any Person designated by Party A as needed, pursuant to which Party A shall provide relevant equipment or assets to Party B for use or license relevant intellectual property to Party B for use.</w:t>
      </w:r>
    </w:p>
    <w:p>
      <w:pPr>
        <w:spacing w:after="0" w:line="181" w:lineRule="exact"/>
        <w:rPr>
          <w:sz w:val="20"/>
          <w:szCs w:val="20"/>
          <w:color w:val="auto"/>
        </w:rPr>
      </w:pPr>
    </w:p>
    <w:p>
      <w:pPr>
        <w:jc w:val="both"/>
        <w:ind w:left="840" w:hanging="647"/>
        <w:spacing w:after="0" w:line="239" w:lineRule="auto"/>
        <w:tabs>
          <w:tab w:leader="none" w:pos="8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Party B hereby grants Party A an irrevocable and exclusive option, pursuant to which Party A shall have the right, to the extent permitted under the PRC laws and at its sole discretion, to purchase any part or all of Party B’s assets at the lowest price permitted under the PRC laws. The Parties shall enter into a separate asset transfer agreement to specify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544" w:name="page545"/>
    <w:bookmarkEnd w:id="544"/>
    <w:p>
      <w:pPr>
        <w:ind w:left="1292"/>
        <w:spacing w:after="0"/>
        <w:rPr>
          <w:sz w:val="20"/>
          <w:szCs w:val="20"/>
          <w:color w:val="auto"/>
        </w:rPr>
      </w:pPr>
      <w:r>
        <w:rPr>
          <w:rFonts w:ascii="Times New Roman" w:cs="Times New Roman" w:eastAsia="Times New Roman" w:hAnsi="Times New Roman"/>
          <w:sz w:val="22"/>
          <w:szCs w:val="22"/>
          <w:color w:val="auto"/>
        </w:rPr>
        <w:t>terms and conditions of such transfer.</w:t>
      </w:r>
    </w:p>
    <w:p>
      <w:pPr>
        <w:spacing w:after="0" w:line="202" w:lineRule="exact"/>
        <w:rPr>
          <w:sz w:val="20"/>
          <w:szCs w:val="20"/>
          <w:color w:val="auto"/>
        </w:rPr>
      </w:pPr>
    </w:p>
    <w:p>
      <w:pPr>
        <w:ind w:left="652" w:hanging="652"/>
        <w:spacing w:after="0"/>
        <w:tabs>
          <w:tab w:leader="none" w:pos="652" w:val="left"/>
        </w:tabs>
        <w:numPr>
          <w:ilvl w:val="0"/>
          <w:numId w:val="4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Service Fees and Payment Method</w:t>
      </w:r>
    </w:p>
    <w:p>
      <w:pPr>
        <w:spacing w:after="0" w:line="210" w:lineRule="exact"/>
        <w:rPr>
          <w:sz w:val="20"/>
          <w:szCs w:val="20"/>
          <w:color w:val="auto"/>
        </w:rPr>
      </w:pPr>
    </w:p>
    <w:p>
      <w:pPr>
        <w:ind w:left="1292" w:hanging="647"/>
        <w:spacing w:after="0" w:line="258" w:lineRule="auto"/>
        <w:tabs>
          <w:tab w:leader="none" w:pos="1271"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During the term of this Agreement, Party B shall pay Party A service fees for the services provided under Section 1.1 as follows:</w:t>
      </w:r>
    </w:p>
    <w:p>
      <w:pPr>
        <w:spacing w:after="0" w:line="158" w:lineRule="exact"/>
        <w:rPr>
          <w:sz w:val="20"/>
          <w:szCs w:val="20"/>
          <w:color w:val="auto"/>
        </w:rPr>
      </w:pPr>
    </w:p>
    <w:p>
      <w:pPr>
        <w:jc w:val="both"/>
        <w:ind w:left="1952" w:hanging="647"/>
        <w:spacing w:after="0" w:line="244" w:lineRule="auto"/>
        <w:tabs>
          <w:tab w:leader="none" w:pos="1931" w:val="left"/>
        </w:tabs>
        <w:rPr>
          <w:sz w:val="20"/>
          <w:szCs w:val="20"/>
          <w:color w:val="auto"/>
        </w:rPr>
      </w:pPr>
      <w:r>
        <w:rPr>
          <w:rFonts w:ascii="Times New Roman" w:cs="Times New Roman" w:eastAsia="Times New Roman" w:hAnsi="Times New Roman"/>
          <w:sz w:val="22"/>
          <w:szCs w:val="22"/>
          <w:color w:val="auto"/>
        </w:rPr>
        <w:t>2.1.1</w:t>
        <w:tab/>
        <w:t>For the services provided by Party A to Party B, Party B shall pay service fees to Party A on a quarterly basis. The amount of service fees for each quarter shall be determined by Party A based on the following factors:</w:t>
      </w:r>
    </w:p>
    <w:p>
      <w:pPr>
        <w:spacing w:after="0" w:line="173" w:lineRule="exact"/>
        <w:rPr>
          <w:sz w:val="20"/>
          <w:szCs w:val="20"/>
          <w:color w:val="auto"/>
        </w:rPr>
      </w:pPr>
    </w:p>
    <w:p>
      <w:pPr>
        <w:ind w:left="2592" w:hanging="648"/>
        <w:spacing w:after="0"/>
        <w:tabs>
          <w:tab w:leader="none" w:pos="2592"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complexity and difficulty of the services;</w:t>
      </w:r>
    </w:p>
    <w:p>
      <w:pPr>
        <w:spacing w:after="0" w:line="206" w:lineRule="exact"/>
        <w:rPr>
          <w:rFonts w:ascii="Times New Roman" w:cs="Times New Roman" w:eastAsia="Times New Roman" w:hAnsi="Times New Roman"/>
          <w:sz w:val="22"/>
          <w:szCs w:val="22"/>
          <w:color w:val="auto"/>
        </w:rPr>
      </w:pPr>
    </w:p>
    <w:p>
      <w:pPr>
        <w:ind w:left="2592" w:hanging="648"/>
        <w:spacing w:after="0"/>
        <w:tabs>
          <w:tab w:leader="none" w:pos="2592" w:val="left"/>
        </w:tabs>
        <w:numPr>
          <w:ilvl w:val="0"/>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positions of Party A’s employees and the time required to provide such services;</w:t>
      </w:r>
    </w:p>
    <w:p>
      <w:pPr>
        <w:spacing w:after="0" w:line="217" w:lineRule="exact"/>
        <w:rPr>
          <w:rFonts w:ascii="Times New Roman" w:cs="Times New Roman" w:eastAsia="Times New Roman" w:hAnsi="Times New Roman"/>
          <w:sz w:val="21"/>
          <w:szCs w:val="21"/>
          <w:color w:val="auto"/>
        </w:rPr>
      </w:pPr>
    </w:p>
    <w:p>
      <w:pPr>
        <w:ind w:left="2592" w:hanging="648"/>
        <w:spacing w:after="0"/>
        <w:tabs>
          <w:tab w:leader="none" w:pos="2592"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content and commercial value of the services;</w:t>
      </w:r>
    </w:p>
    <w:p>
      <w:pPr>
        <w:spacing w:after="0" w:line="206" w:lineRule="exact"/>
        <w:rPr>
          <w:rFonts w:ascii="Times New Roman" w:cs="Times New Roman" w:eastAsia="Times New Roman" w:hAnsi="Times New Roman"/>
          <w:sz w:val="22"/>
          <w:szCs w:val="22"/>
          <w:color w:val="auto"/>
        </w:rPr>
      </w:pPr>
    </w:p>
    <w:p>
      <w:pPr>
        <w:ind w:left="2592" w:hanging="648"/>
        <w:spacing w:after="0"/>
        <w:tabs>
          <w:tab w:leader="none" w:pos="2592"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factors for similar types of services;</w:t>
      </w:r>
    </w:p>
    <w:p>
      <w:pPr>
        <w:spacing w:after="0" w:line="206" w:lineRule="exact"/>
        <w:rPr>
          <w:rFonts w:ascii="Times New Roman" w:cs="Times New Roman" w:eastAsia="Times New Roman" w:hAnsi="Times New Roman"/>
          <w:sz w:val="22"/>
          <w:szCs w:val="22"/>
          <w:color w:val="auto"/>
        </w:rPr>
      </w:pPr>
    </w:p>
    <w:p>
      <w:pPr>
        <w:ind w:left="2592" w:hanging="648"/>
        <w:spacing w:after="0"/>
        <w:tabs>
          <w:tab w:leader="none" w:pos="2592"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operational condition of Party B.</w:t>
      </w:r>
    </w:p>
    <w:p>
      <w:pPr>
        <w:spacing w:after="0" w:line="206" w:lineRule="exact"/>
        <w:rPr>
          <w:sz w:val="20"/>
          <w:szCs w:val="20"/>
          <w:color w:val="auto"/>
        </w:rPr>
      </w:pPr>
    </w:p>
    <w:p>
      <w:pPr>
        <w:jc w:val="both"/>
        <w:ind w:left="1952"/>
        <w:spacing w:after="0" w:line="244" w:lineRule="auto"/>
        <w:rPr>
          <w:sz w:val="20"/>
          <w:szCs w:val="20"/>
          <w:color w:val="auto"/>
        </w:rPr>
      </w:pPr>
      <w:r>
        <w:rPr>
          <w:rFonts w:ascii="Times New Roman" w:cs="Times New Roman" w:eastAsia="Times New Roman" w:hAnsi="Times New Roman"/>
          <w:sz w:val="22"/>
          <w:szCs w:val="22"/>
          <w:color w:val="auto"/>
        </w:rPr>
        <w:t>However, the quarterly service fee shall not be less than ninety percent (90%) of the balance of Party B’s quarterly revenue after deducting Party B’s operating costs and expenses recognized by the Parties and losses carried forward from previous fiscal years.</w:t>
      </w:r>
    </w:p>
    <w:p>
      <w:pPr>
        <w:spacing w:after="0" w:line="173" w:lineRule="exact"/>
        <w:rPr>
          <w:sz w:val="20"/>
          <w:szCs w:val="20"/>
          <w:color w:val="auto"/>
        </w:rPr>
      </w:pPr>
    </w:p>
    <w:p>
      <w:pPr>
        <w:jc w:val="both"/>
        <w:ind w:left="1292" w:hanging="647"/>
        <w:spacing w:after="0" w:line="244" w:lineRule="auto"/>
        <w:tabs>
          <w:tab w:leader="none" w:pos="1271"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During the term of this Agreement, if Party A licenses intellectual property to Party B or leases equipment or assets to Party B, the license fees and rental fees shall be determined by Party A based on actual circumstances.</w:t>
      </w:r>
    </w:p>
    <w:p>
      <w:pPr>
        <w:spacing w:after="0" w:line="173"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Party A shall have the right to unilaterally adjust the fees described in Sections 2.1 and 2.2.</w:t>
      </w:r>
    </w:p>
    <w:p>
      <w:pPr>
        <w:spacing w:after="0" w:line="202" w:lineRule="exact"/>
        <w:rPr>
          <w:sz w:val="20"/>
          <w:szCs w:val="20"/>
          <w:color w:val="auto"/>
        </w:rPr>
      </w:pPr>
    </w:p>
    <w:p>
      <w:pPr>
        <w:ind w:left="652" w:hanging="652"/>
        <w:spacing w:after="0"/>
        <w:tabs>
          <w:tab w:leader="none" w:pos="652" w:val="left"/>
        </w:tabs>
        <w:numPr>
          <w:ilvl w:val="0"/>
          <w:numId w:val="4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 and Confidentiality</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 Party A shall exclusively own all intellectual property rights arising from or created in connection with the performance of this Agreement, including but not limited to copyrights, patent rights,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545" w:name="page546"/>
    <w:bookmarkEnd w:id="545"/>
    <w:p>
      <w:pPr>
        <w:jc w:val="both"/>
        <w:ind w:left="1292"/>
        <w:spacing w:after="0" w:line="238" w:lineRule="auto"/>
        <w:rPr>
          <w:sz w:val="20"/>
          <w:szCs w:val="20"/>
          <w:color w:val="auto"/>
        </w:rPr>
      </w:pPr>
      <w:r>
        <w:rPr>
          <w:rFonts w:ascii="Times New Roman" w:cs="Times New Roman" w:eastAsia="Times New Roman" w:hAnsi="Times New Roman"/>
          <w:sz w:val="22"/>
          <w:szCs w:val="22"/>
          <w:color w:val="auto"/>
        </w:rPr>
        <w:t>rights, software, technical secrets, trade secrets and other rights and interests. Party B shall execute all appropriate documents, take all appropriate actions, file all appropriate documents and/or applications, provide all appropriate assistance, and take all other actions deemed necessary by Party A at its sole discretion to vest such intellectual property rights, title and interests in Party A and/or perfect Party A’s protection of such intellectual property rights.</w:t>
      </w:r>
    </w:p>
    <w:p>
      <w:pPr>
        <w:spacing w:after="0" w:line="177" w:lineRule="exact"/>
        <w:rPr>
          <w:sz w:val="20"/>
          <w:szCs w:val="20"/>
          <w:color w:val="auto"/>
        </w:rPr>
      </w:pPr>
    </w:p>
    <w:p>
      <w:pPr>
        <w:jc w:val="both"/>
        <w:ind w:left="1292" w:hanging="647"/>
        <w:spacing w:after="0" w:line="233" w:lineRule="auto"/>
        <w:tabs>
          <w:tab w:leader="none" w:pos="1271"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The Parties acknowledge and confirm that this Agreement, the contents hereof and any oral or written information exchanged between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76" w:lineRule="exact"/>
        <w:rPr>
          <w:sz w:val="20"/>
          <w:szCs w:val="20"/>
          <w:color w:val="auto"/>
        </w:rPr>
      </w:pPr>
    </w:p>
    <w:p>
      <w:pPr>
        <w:ind w:left="652" w:hanging="652"/>
        <w:spacing w:after="0"/>
        <w:tabs>
          <w:tab w:leader="none" w:pos="652" w:val="left"/>
        </w:tabs>
        <w:numPr>
          <w:ilvl w:val="0"/>
          <w:numId w:val="4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Warranties and Covenants</w:t>
      </w:r>
    </w:p>
    <w:p>
      <w:pPr>
        <w:spacing w:after="0" w:line="210" w:lineRule="exact"/>
        <w:rPr>
          <w:rFonts w:ascii="Times New Roman" w:cs="Times New Roman" w:eastAsia="Times New Roman" w:hAnsi="Times New Roman"/>
          <w:sz w:val="22"/>
          <w:szCs w:val="22"/>
          <w:b w:val="1"/>
          <w:bCs w:val="1"/>
          <w:color w:val="auto"/>
        </w:rPr>
      </w:pPr>
    </w:p>
    <w:p>
      <w:pPr>
        <w:ind w:left="652"/>
        <w:spacing w:after="0" w:line="268" w:lineRule="exact"/>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4.1    Representations, Warranties and Covenants of Party A</w:t>
      </w:r>
      <w:r>
        <w:rPr>
          <w:rFonts w:ascii="SimSun" w:cs="SimSun" w:eastAsia="SimSun" w:hAnsi="SimSun"/>
          <w:sz w:val="22"/>
          <w:szCs w:val="22"/>
          <w:color w:val="auto"/>
        </w:rPr>
        <w:t>：</w:t>
      </w:r>
    </w:p>
    <w:p>
      <w:pPr>
        <w:spacing w:after="0" w:line="232" w:lineRule="exact"/>
        <w:rPr>
          <w:sz w:val="20"/>
          <w:szCs w:val="20"/>
          <w:color w:val="auto"/>
        </w:rPr>
      </w:pPr>
    </w:p>
    <w:p>
      <w:pPr>
        <w:jc w:val="both"/>
        <w:ind w:left="1952" w:hanging="647"/>
        <w:spacing w:after="0" w:line="244" w:lineRule="auto"/>
        <w:tabs>
          <w:tab w:leader="none" w:pos="1931" w:val="left"/>
        </w:tabs>
        <w:rPr>
          <w:sz w:val="20"/>
          <w:szCs w:val="20"/>
          <w:color w:val="auto"/>
        </w:rPr>
      </w:pPr>
      <w:r>
        <w:rPr>
          <w:rFonts w:ascii="Times New Roman" w:cs="Times New Roman" w:eastAsia="Times New Roman" w:hAnsi="Times New Roman"/>
          <w:sz w:val="22"/>
          <w:szCs w:val="22"/>
          <w:color w:val="auto"/>
        </w:rPr>
        <w:t>4.1.1</w:t>
        <w:tab/>
        <w:t>Party A is a wholly foreign-owned enterprise duly established and validly existing under the PRC laws. Party A or its designated service provider shall obtain all necessary governmental permits and licenses required for providing the services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546" w:name="page547"/>
    <w:bookmarkEnd w:id="546"/>
    <w:p>
      <w:pPr>
        <w:ind w:left="1952"/>
        <w:spacing w:after="0"/>
        <w:rPr>
          <w:sz w:val="20"/>
          <w:szCs w:val="20"/>
          <w:color w:val="auto"/>
        </w:rPr>
      </w:pPr>
      <w:r>
        <w:rPr>
          <w:rFonts w:ascii="Times New Roman" w:cs="Times New Roman" w:eastAsia="Times New Roman" w:hAnsi="Times New Roman"/>
          <w:sz w:val="22"/>
          <w:szCs w:val="22"/>
          <w:color w:val="auto"/>
        </w:rPr>
        <w:t>Agreement prior to providing such services.</w:t>
      </w:r>
    </w:p>
    <w:p>
      <w:pPr>
        <w:spacing w:after="0" w:line="206" w:lineRule="exact"/>
        <w:rPr>
          <w:sz w:val="20"/>
          <w:szCs w:val="20"/>
          <w:color w:val="auto"/>
        </w:rPr>
      </w:pPr>
    </w:p>
    <w:p>
      <w:pPr>
        <w:jc w:val="both"/>
        <w:ind w:left="1952" w:right="20" w:hanging="647"/>
        <w:spacing w:after="0" w:line="238" w:lineRule="auto"/>
        <w:tabs>
          <w:tab w:leader="none" w:pos="1931" w:val="left"/>
        </w:tabs>
        <w:rPr>
          <w:sz w:val="20"/>
          <w:szCs w:val="20"/>
          <w:color w:val="auto"/>
        </w:rPr>
      </w:pPr>
      <w:r>
        <w:rPr>
          <w:rFonts w:ascii="Times New Roman" w:cs="Times New Roman" w:eastAsia="Times New Roman" w:hAnsi="Times New Roman"/>
          <w:sz w:val="22"/>
          <w:szCs w:val="22"/>
          <w:color w:val="auto"/>
        </w:rPr>
        <w:t>4.1.2</w:t>
        <w:tab/>
        <w:t>Party A has taken all necessary corporate actions, obtained all necessary authorizations and secured all required consents and approvals from third parties and governmental authorities (if required) for the execution, delivery and performance of this Agreement. The execution, delivery and performance of this Agreement by Party A do not violate any applicable laws or regulations.</w:t>
      </w:r>
    </w:p>
    <w:p>
      <w:pPr>
        <w:spacing w:after="0" w:line="177" w:lineRule="exact"/>
        <w:rPr>
          <w:sz w:val="20"/>
          <w:szCs w:val="20"/>
          <w:color w:val="auto"/>
        </w:rPr>
      </w:pPr>
    </w:p>
    <w:p>
      <w:pPr>
        <w:jc w:val="both"/>
        <w:ind w:left="1952" w:hanging="647"/>
        <w:spacing w:after="0" w:line="258" w:lineRule="auto"/>
        <w:tabs>
          <w:tab w:leader="none" w:pos="1931" w:val="left"/>
        </w:tabs>
        <w:rPr>
          <w:sz w:val="20"/>
          <w:szCs w:val="20"/>
          <w:color w:val="auto"/>
        </w:rPr>
      </w:pPr>
      <w:r>
        <w:rPr>
          <w:rFonts w:ascii="Times New Roman" w:cs="Times New Roman" w:eastAsia="Times New Roman" w:hAnsi="Times New Roman"/>
          <w:sz w:val="22"/>
          <w:szCs w:val="22"/>
          <w:color w:val="auto"/>
        </w:rPr>
        <w:t>4.1.3</w:t>
        <w:tab/>
        <w:t>This Agreement constitutes legal, valid and binding obligations of Party A and is enforceable against Party A in accordance with its terms.</w:t>
      </w:r>
    </w:p>
    <w:p>
      <w:pPr>
        <w:spacing w:after="0" w:line="158" w:lineRule="exact"/>
        <w:rPr>
          <w:sz w:val="20"/>
          <w:szCs w:val="20"/>
          <w:color w:val="auto"/>
        </w:rPr>
      </w:pPr>
    </w:p>
    <w:p>
      <w:pPr>
        <w:ind w:left="652"/>
        <w:spacing w:after="0" w:line="256" w:lineRule="exact"/>
        <w:tabs>
          <w:tab w:leader="none" w:pos="1271"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Representations, Warranties and Covenants of Party B</w:t>
      </w:r>
      <w:r>
        <w:rPr>
          <w:rFonts w:ascii="SimSun" w:cs="SimSun" w:eastAsia="SimSun" w:hAnsi="SimSun"/>
          <w:sz w:val="21"/>
          <w:szCs w:val="21"/>
          <w:color w:val="auto"/>
        </w:rPr>
        <w:t>：</w:t>
      </w:r>
    </w:p>
    <w:p>
      <w:pPr>
        <w:spacing w:after="0" w:line="244" w:lineRule="exact"/>
        <w:rPr>
          <w:sz w:val="20"/>
          <w:szCs w:val="20"/>
          <w:color w:val="auto"/>
        </w:rPr>
      </w:pPr>
    </w:p>
    <w:p>
      <w:pPr>
        <w:jc w:val="both"/>
        <w:ind w:left="1952" w:hanging="647"/>
        <w:spacing w:after="0" w:line="244" w:lineRule="auto"/>
        <w:tabs>
          <w:tab w:leader="none" w:pos="1931" w:val="left"/>
        </w:tabs>
        <w:rPr>
          <w:sz w:val="20"/>
          <w:szCs w:val="20"/>
          <w:color w:val="auto"/>
        </w:rPr>
      </w:pPr>
      <w:r>
        <w:rPr>
          <w:rFonts w:ascii="Times New Roman" w:cs="Times New Roman" w:eastAsia="Times New Roman" w:hAnsi="Times New Roman"/>
          <w:sz w:val="22"/>
          <w:szCs w:val="22"/>
          <w:color w:val="auto"/>
        </w:rPr>
        <w:t>4.2.1</w:t>
        <w:tab/>
        <w:t>Party B is a company duly established and validly existing under the PRC laws and has obtained and shall maintain all necessary governmental permits and licenses required for conducting the Principal Business.</w:t>
      </w:r>
    </w:p>
    <w:p>
      <w:pPr>
        <w:spacing w:after="0" w:line="173" w:lineRule="exact"/>
        <w:rPr>
          <w:sz w:val="20"/>
          <w:szCs w:val="20"/>
          <w:color w:val="auto"/>
        </w:rPr>
      </w:pPr>
    </w:p>
    <w:p>
      <w:pPr>
        <w:jc w:val="both"/>
        <w:ind w:left="1952" w:hanging="647"/>
        <w:spacing w:after="0" w:line="238" w:lineRule="auto"/>
        <w:tabs>
          <w:tab w:leader="none" w:pos="1931" w:val="left"/>
        </w:tabs>
        <w:rPr>
          <w:sz w:val="20"/>
          <w:szCs w:val="20"/>
          <w:color w:val="auto"/>
        </w:rPr>
      </w:pPr>
      <w:r>
        <w:rPr>
          <w:rFonts w:ascii="Times New Roman" w:cs="Times New Roman" w:eastAsia="Times New Roman" w:hAnsi="Times New Roman"/>
          <w:sz w:val="22"/>
          <w:szCs w:val="22"/>
          <w:color w:val="auto"/>
        </w:rPr>
        <w:t>4.2.2</w:t>
        <w:tab/>
        <w:t>Party B has taken all necessary corporate actions, obtained all necessary authorizations and secured all required consents and approvals from third parties and governmental authorities (if required) for the execution, delivery and performance of this Agreement. The execution, delivery and performance of this Agreement by Party B do not violate any applicable laws or regulations.</w:t>
      </w:r>
    </w:p>
    <w:p>
      <w:pPr>
        <w:spacing w:after="0" w:line="177" w:lineRule="exact"/>
        <w:rPr>
          <w:sz w:val="20"/>
          <w:szCs w:val="20"/>
          <w:color w:val="auto"/>
        </w:rPr>
      </w:pPr>
    </w:p>
    <w:p>
      <w:pPr>
        <w:jc w:val="both"/>
        <w:ind w:left="1952" w:hanging="647"/>
        <w:spacing w:after="0" w:line="258" w:lineRule="auto"/>
        <w:tabs>
          <w:tab w:leader="none" w:pos="1931" w:val="left"/>
        </w:tabs>
        <w:rPr>
          <w:sz w:val="20"/>
          <w:szCs w:val="20"/>
          <w:color w:val="auto"/>
        </w:rPr>
      </w:pPr>
      <w:r>
        <w:rPr>
          <w:rFonts w:ascii="Times New Roman" w:cs="Times New Roman" w:eastAsia="Times New Roman" w:hAnsi="Times New Roman"/>
          <w:sz w:val="22"/>
          <w:szCs w:val="22"/>
          <w:color w:val="auto"/>
        </w:rPr>
        <w:t>4.2.3</w:t>
        <w:tab/>
        <w:t>This Agreement constitutes legal, valid and binding obligations of Party B and is enforceable against Party B in accordance with its terms.</w:t>
      </w:r>
    </w:p>
    <w:p>
      <w:pPr>
        <w:spacing w:after="0" w:line="154" w:lineRule="exact"/>
        <w:rPr>
          <w:sz w:val="20"/>
          <w:szCs w:val="20"/>
          <w:color w:val="auto"/>
        </w:rPr>
      </w:pPr>
    </w:p>
    <w:p>
      <w:pPr>
        <w:ind w:left="652" w:hanging="652"/>
        <w:spacing w:after="0"/>
        <w:tabs>
          <w:tab w:leader="none" w:pos="652" w:val="left"/>
        </w:tabs>
        <w:numPr>
          <w:ilvl w:val="0"/>
          <w:numId w:val="4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Agreement</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5.1 This agreement shall come into effect as of the date of its formal signing by both parties. Unless otherwise explicitly stipulated in this agreement or decided in writing by Party A to terminate it, the term of this agreement shall be 20 years. If Party A has no objection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547" w:name="page548"/>
    <w:bookmarkEnd w:id="547"/>
    <w:p>
      <w:pPr>
        <w:jc w:val="both"/>
        <w:ind w:left="1292"/>
        <w:spacing w:after="0" w:line="244" w:lineRule="auto"/>
        <w:rPr>
          <w:sz w:val="20"/>
          <w:szCs w:val="20"/>
          <w:color w:val="auto"/>
        </w:rPr>
      </w:pPr>
      <w:r>
        <w:rPr>
          <w:rFonts w:ascii="Times New Roman" w:cs="Times New Roman" w:eastAsia="Times New Roman" w:hAnsi="Times New Roman"/>
          <w:sz w:val="22"/>
          <w:szCs w:val="22"/>
          <w:color w:val="auto"/>
        </w:rPr>
        <w:t>expiration date, the term of this agreement shall be automatically extended for another 10 years, and so on. Party A has the right to unilaterally decide to extend or shorten the term of this agreement based on the actual situation.</w:t>
      </w:r>
    </w:p>
    <w:p>
      <w:pPr>
        <w:spacing w:after="0" w:line="174" w:lineRule="exact"/>
        <w:rPr>
          <w:sz w:val="20"/>
          <w:szCs w:val="20"/>
          <w:color w:val="auto"/>
        </w:rPr>
      </w:pPr>
    </w:p>
    <w:p>
      <w:pPr>
        <w:jc w:val="both"/>
        <w:ind w:left="1292" w:hanging="647"/>
        <w:spacing w:after="0" w:line="238" w:lineRule="auto"/>
        <w:tabs>
          <w:tab w:leader="none" w:pos="1271"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If, during the term of this Agreement, the business term of either Party expires, such Party shall promptly apply for renewal of its business term so as to ensure the continued validity and performance of this Agreement. If such application for renewal is not approved or consented to by the competent authorities, this Agreement shall terminate upon the expiration of such Party’s business term.</w:t>
      </w:r>
    </w:p>
    <w:p>
      <w:pPr>
        <w:spacing w:after="0" w:line="177" w:lineRule="exact"/>
        <w:rPr>
          <w:sz w:val="20"/>
          <w:szCs w:val="20"/>
          <w:color w:val="auto"/>
        </w:rPr>
      </w:pPr>
    </w:p>
    <w:p>
      <w:pPr>
        <w:jc w:val="both"/>
        <w:ind w:left="1292" w:right="20" w:hanging="647"/>
        <w:spacing w:after="0" w:line="258" w:lineRule="auto"/>
        <w:tabs>
          <w:tab w:leader="none" w:pos="1271"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Upon termination of this Agreement, the rights and obligations of the Parties under Sections 3, 6, 7 and this Section 5.3 shall survive such termination.</w:t>
      </w:r>
    </w:p>
    <w:p>
      <w:pPr>
        <w:spacing w:after="0" w:line="154" w:lineRule="exact"/>
        <w:rPr>
          <w:sz w:val="20"/>
          <w:szCs w:val="20"/>
          <w:color w:val="auto"/>
        </w:rPr>
      </w:pPr>
    </w:p>
    <w:p>
      <w:pPr>
        <w:ind w:left="652" w:hanging="652"/>
        <w:spacing w:after="0"/>
        <w:tabs>
          <w:tab w:leader="none" w:pos="652" w:val="left"/>
        </w:tabs>
        <w:numPr>
          <w:ilvl w:val="0"/>
          <w:numId w:val="4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Dispute Resolution</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6.1 The execution, validity, interpretation, performance, amendment and termination of this Agreement and the resolution of any disputes arising hereunder shall be governed by the PRC laws.</w:t>
      </w:r>
    </w:p>
    <w:p>
      <w:pPr>
        <w:spacing w:after="0" w:line="158" w:lineRule="exact"/>
        <w:rPr>
          <w:rFonts w:ascii="Times New Roman" w:cs="Times New Roman" w:eastAsia="Times New Roman" w:hAnsi="Times New Roman"/>
          <w:sz w:val="22"/>
          <w:szCs w:val="22"/>
          <w:b w:val="1"/>
          <w:bCs w:val="1"/>
          <w:color w:val="auto"/>
        </w:rPr>
      </w:pPr>
    </w:p>
    <w:p>
      <w:pPr>
        <w:jc w:val="right"/>
        <w:ind w:left="1292" w:hanging="648"/>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6.2    Any dispute arising from the interpretation or performance of this Agreement shall first be resolved through friendly consultation between the Parties. If the dispute cannot be resolved within thirty</w:t>
      </w:r>
    </w:p>
    <w:p>
      <w:pPr>
        <w:spacing w:after="0" w:line="1" w:lineRule="exact"/>
        <w:rPr>
          <w:rFonts w:ascii="Times New Roman" w:cs="Times New Roman" w:eastAsia="Times New Roman" w:hAnsi="Times New Roman"/>
          <w:sz w:val="22"/>
          <w:szCs w:val="22"/>
          <w:b w:val="1"/>
          <w:bCs w:val="1"/>
          <w:color w:val="auto"/>
        </w:rPr>
      </w:pPr>
    </w:p>
    <w:p>
      <w:pPr>
        <w:jc w:val="both"/>
        <w:ind w:left="1292" w:firstLine="4"/>
        <w:spacing w:after="0" w:line="233" w:lineRule="auto"/>
        <w:tabs>
          <w:tab w:leader="none" w:pos="1725"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one Party delivers a written notice requesting consultation, any Party may submit such dispute to the China International Economic and Trade Arbitration Commission (“CIETAC”) for arbitration in accordance with its arbitration rules. The arbitration shall be conducted in Shenzhen, and the language of arbitration shall be Chinese. The arbitral award shall be final and binding upon the Parties.</w:t>
      </w:r>
    </w:p>
    <w:p>
      <w:pPr>
        <w:spacing w:after="0" w:line="179" w:lineRule="exact"/>
        <w:rPr>
          <w:sz w:val="20"/>
          <w:szCs w:val="20"/>
          <w:color w:val="auto"/>
        </w:rPr>
      </w:pPr>
    </w:p>
    <w:p>
      <w:pPr>
        <w:jc w:val="both"/>
        <w:ind w:left="1292" w:hanging="647"/>
        <w:spacing w:after="0" w:line="244" w:lineRule="auto"/>
        <w:tabs>
          <w:tab w:leader="none" w:pos="1271"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color w:val="auto"/>
        </w:rPr>
        <w:t>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69" w:lineRule="exact"/>
        <w:rPr>
          <w:sz w:val="20"/>
          <w:szCs w:val="20"/>
          <w:color w:val="auto"/>
        </w:rPr>
      </w:pPr>
    </w:p>
    <w:p>
      <w:pPr>
        <w:ind w:left="652" w:hanging="652"/>
        <w:spacing w:after="0"/>
        <w:tabs>
          <w:tab w:leader="none" w:pos="652" w:val="left"/>
        </w:tabs>
        <w:numPr>
          <w:ilvl w:val="0"/>
          <w:numId w:val="4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548" w:name="page549"/>
    <w:bookmarkEnd w:id="548"/>
    <w:p>
      <w:pPr>
        <w:ind w:left="1292" w:hanging="647"/>
        <w:spacing w:after="0" w:line="269" w:lineRule="exact"/>
        <w:tabs>
          <w:tab w:leader="none" w:pos="1271"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The tax burden arising from the execution of this agreement by each party shall be borne by each party respectively</w:t>
      </w:r>
      <w:r>
        <w:rPr>
          <w:rFonts w:ascii="SimSun" w:cs="SimSun" w:eastAsia="SimSun" w:hAnsi="SimSun"/>
          <w:sz w:val="22"/>
          <w:szCs w:val="22"/>
          <w:color w:val="auto"/>
        </w:rPr>
        <w:t>。</w:t>
      </w:r>
    </w:p>
    <w:p>
      <w:pPr>
        <w:spacing w:after="0" w:line="201" w:lineRule="exact"/>
        <w:rPr>
          <w:sz w:val="20"/>
          <w:szCs w:val="20"/>
          <w:color w:val="auto"/>
        </w:rPr>
      </w:pPr>
    </w:p>
    <w:p>
      <w:pPr>
        <w:ind w:left="652" w:hanging="652"/>
        <w:spacing w:after="0"/>
        <w:tabs>
          <w:tab w:leader="none" w:pos="652" w:val="left"/>
        </w:tabs>
        <w:numPr>
          <w:ilvl w:val="0"/>
          <w:numId w:val="4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Liability for Breach and Indemnification</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7.1 If Party B materially breaches any provision of this Agreement, Party A shall have the right to terminate this Agreement and/or require Party B to compensate for damages. This Section 7.1 shall not prejudice any other rights of Party A under this Agreement.</w:t>
      </w:r>
    </w:p>
    <w:p>
      <w:pPr>
        <w:spacing w:after="0" w:line="173" w:lineRule="exact"/>
        <w:rPr>
          <w:rFonts w:ascii="Times New Roman" w:cs="Times New Roman" w:eastAsia="Times New Roman" w:hAnsi="Times New Roman"/>
          <w:sz w:val="22"/>
          <w:szCs w:val="22"/>
          <w:b w:val="1"/>
          <w:bCs w:val="1"/>
          <w:color w:val="auto"/>
        </w:rPr>
      </w:pPr>
    </w:p>
    <w:p>
      <w:pPr>
        <w:ind w:left="1292" w:right="20" w:hanging="64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7.2 Except as otherwise required by applicable laws, Party B shall not have any right to terminate or rescind this Agreement under any circumstances.</w:t>
      </w:r>
    </w:p>
    <w:p>
      <w:pPr>
        <w:spacing w:after="0" w:line="158" w:lineRule="exact"/>
        <w:rPr>
          <w:rFonts w:ascii="Times New Roman" w:cs="Times New Roman" w:eastAsia="Times New Roman" w:hAnsi="Times New Roman"/>
          <w:sz w:val="22"/>
          <w:szCs w:val="22"/>
          <w:b w:val="1"/>
          <w:bCs w:val="1"/>
          <w:color w:val="auto"/>
        </w:rPr>
      </w:pPr>
    </w:p>
    <w:p>
      <w:pPr>
        <w:ind w:left="1292" w:hanging="64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7.3 Party B shall indemnify Party A against any and all losses, damages, liabilities or expenses incurred by Party A arising from or in connection with any litigation, claim or other demand against Party A in connection with the services provided by Party A to Party B under this Agreement, except to the extent that such losses, damages, liabilities or expenses arise from Party A’s gross negligence or willful misconduct. 8.</w:t>
      </w:r>
    </w:p>
    <w:p>
      <w:pPr>
        <w:spacing w:after="0" w:line="172"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4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 Majeure</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8.1 If either Party is prevented from performing or is unable to fully perform this Agreement due to any earthquake, typhoon, flood, fire, epidemic, war, riot, hostile action, public disturbance, strike or any other event that is unforeseeable, unavoidable and insurmountable (“Force Majeure”), the affected Party shall not be liable for such non-performance or partial non-performance caused directly by such Force Majeure event. The affected Party shall promptly notify the other Party in writing without delay and shall provide details of the Force Majeure event within fifteen (15) days after issuing such written notice, explaining the reasons for such non-performance, partial non-performance or delay in performance.</w:t>
      </w:r>
    </w:p>
    <w:p>
      <w:pPr>
        <w:spacing w:after="0" w:line="178" w:lineRule="exact"/>
        <w:rPr>
          <w:rFonts w:ascii="Times New Roman" w:cs="Times New Roman" w:eastAsia="Times New Roman" w:hAnsi="Times New Roman"/>
          <w:sz w:val="22"/>
          <w:szCs w:val="22"/>
          <w:b w:val="1"/>
          <w:bCs w:val="1"/>
          <w:color w:val="auto"/>
        </w:rPr>
      </w:pPr>
    </w:p>
    <w:p>
      <w:pPr>
        <w:ind w:left="1292" w:hanging="64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8.2 If the Party claiming Force Majeure fails to notify the other Party and provide appropriate supporting evidence in accordance with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549" w:name="page550"/>
    <w:bookmarkEnd w:id="549"/>
    <w:p>
      <w:pPr>
        <w:jc w:val="both"/>
        <w:ind w:left="1292"/>
        <w:spacing w:after="0" w:line="236" w:lineRule="auto"/>
        <w:rPr>
          <w:sz w:val="20"/>
          <w:szCs w:val="20"/>
          <w:color w:val="auto"/>
        </w:rPr>
      </w:pPr>
      <w:r>
        <w:rPr>
          <w:rFonts w:ascii="Times New Roman" w:cs="Times New Roman" w:eastAsia="Times New Roman" w:hAnsi="Times New Roman"/>
          <w:sz w:val="22"/>
          <w:szCs w:val="22"/>
          <w:color w:val="auto"/>
        </w:rPr>
        <w:t>provisions, such Party shall not be exempted from liability for failure to perform its obligations under this Agreement. The affected Party shall use reasonable efforts to mitigate the consequences of the Force Majeure event and shall resume performance of its obligations as soon as practicable after the Force Majeure event ceases. If the affected Party fails to resume performance of its obligations after the reasons for suspension of performance due to Force Majeure have ceased to exist, such Party shall bear liability to the other Party.</w:t>
      </w:r>
    </w:p>
    <w:p>
      <w:pPr>
        <w:spacing w:after="0" w:line="182" w:lineRule="exact"/>
        <w:rPr>
          <w:sz w:val="20"/>
          <w:szCs w:val="20"/>
          <w:color w:val="auto"/>
        </w:rPr>
      </w:pPr>
    </w:p>
    <w:p>
      <w:pPr>
        <w:jc w:val="both"/>
        <w:ind w:left="1292" w:hanging="647"/>
        <w:spacing w:after="0" w:line="244" w:lineRule="auto"/>
        <w:tabs>
          <w:tab w:leader="none" w:pos="1271"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Upon the occurrence of a Force Majeure event, the Parties shall immediately consult with each other to seek an equitable solution and shall use all reasonable efforts to minimize the consequences of such Force Majeure event.</w:t>
      </w:r>
    </w:p>
    <w:p>
      <w:pPr>
        <w:spacing w:after="0" w:line="169" w:lineRule="exact"/>
        <w:rPr>
          <w:sz w:val="20"/>
          <w:szCs w:val="20"/>
          <w:color w:val="auto"/>
        </w:rPr>
      </w:pPr>
    </w:p>
    <w:p>
      <w:pPr>
        <w:ind w:left="652" w:hanging="652"/>
        <w:spacing w:after="0"/>
        <w:tabs>
          <w:tab w:leader="none" w:pos="652" w:val="left"/>
        </w:tabs>
        <w:numPr>
          <w:ilvl w:val="0"/>
          <w:numId w:val="4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9.1 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80" w:lineRule="exact"/>
        <w:rPr>
          <w:sz w:val="20"/>
          <w:szCs w:val="20"/>
          <w:color w:val="auto"/>
        </w:rPr>
      </w:pPr>
    </w:p>
    <w:p>
      <w:pPr>
        <w:jc w:val="both"/>
        <w:ind w:left="1952" w:right="20" w:hanging="647"/>
        <w:spacing w:after="0" w:line="258" w:lineRule="auto"/>
        <w:tabs>
          <w:tab w:leader="none" w:pos="1931" w:val="left"/>
        </w:tabs>
        <w:rPr>
          <w:sz w:val="20"/>
          <w:szCs w:val="20"/>
          <w:color w:val="auto"/>
        </w:rPr>
      </w:pPr>
      <w:r>
        <w:rPr>
          <w:rFonts w:ascii="Times New Roman" w:cs="Times New Roman" w:eastAsia="Times New Roman" w:hAnsi="Times New Roman"/>
          <w:sz w:val="22"/>
          <w:szCs w:val="22"/>
          <w:color w:val="auto"/>
        </w:rPr>
        <w:t>9.1.1</w:t>
        <w:tab/>
        <w:t>If delivered by hand, courier service or registered mail (postage prepaid), the date of receipt or rejection at the designated address shall be deemed the effective delivery date;</w:t>
      </w:r>
    </w:p>
    <w:p>
      <w:pPr>
        <w:spacing w:after="0" w:line="158" w:lineRule="exact"/>
        <w:rPr>
          <w:sz w:val="20"/>
          <w:szCs w:val="20"/>
          <w:color w:val="auto"/>
        </w:rPr>
      </w:pPr>
    </w:p>
    <w:p>
      <w:pPr>
        <w:jc w:val="both"/>
        <w:ind w:left="1952" w:hanging="647"/>
        <w:spacing w:after="0" w:line="244" w:lineRule="auto"/>
        <w:tabs>
          <w:tab w:leader="none" w:pos="1931" w:val="left"/>
        </w:tabs>
        <w:rPr>
          <w:sz w:val="20"/>
          <w:szCs w:val="20"/>
          <w:color w:val="auto"/>
        </w:rPr>
      </w:pPr>
      <w:r>
        <w:rPr>
          <w:rFonts w:ascii="Times New Roman" w:cs="Times New Roman" w:eastAsia="Times New Roman" w:hAnsi="Times New Roman"/>
          <w:sz w:val="22"/>
          <w:szCs w:val="22"/>
          <w:color w:val="auto"/>
        </w:rPr>
        <w:t>9.1.2</w:t>
        <w:tab/>
        <w:t>If delivered by facsimile, the date of successful transmission (as evidenced by the automatically generated transmission confirmation) shall be deemed the effective delivery date.</w:t>
      </w:r>
    </w:p>
    <w:p>
      <w:pPr>
        <w:spacing w:after="0" w:line="169" w:lineRule="exact"/>
        <w:rPr>
          <w:sz w:val="20"/>
          <w:szCs w:val="20"/>
          <w:color w:val="auto"/>
        </w:rPr>
      </w:pPr>
    </w:p>
    <w:p>
      <w:pPr>
        <w:ind w:left="652" w:hanging="652"/>
        <w:spacing w:after="0"/>
        <w:tabs>
          <w:tab w:leader="none" w:pos="652" w:val="left"/>
        </w:tabs>
        <w:numPr>
          <w:ilvl w:val="0"/>
          <w:numId w:val="4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10" w:lineRule="exact"/>
        <w:rPr>
          <w:rFonts w:ascii="Times New Roman" w:cs="Times New Roman" w:eastAsia="Times New Roman" w:hAnsi="Times New Roman"/>
          <w:sz w:val="22"/>
          <w:szCs w:val="22"/>
          <w:b w:val="1"/>
          <w:bCs w:val="1"/>
          <w:color w:val="auto"/>
        </w:rPr>
      </w:pPr>
    </w:p>
    <w:p>
      <w:pPr>
        <w:ind w:left="1292" w:hanging="64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10.1 Party B shall not assign its rights or obligations under this Agreement to any third party without the prior written consent of Party A.</w:t>
      </w:r>
    </w:p>
    <w:p>
      <w:pPr>
        <w:spacing w:after="0" w:line="158" w:lineRule="exact"/>
        <w:rPr>
          <w:rFonts w:ascii="Times New Roman" w:cs="Times New Roman" w:eastAsia="Times New Roman" w:hAnsi="Times New Roman"/>
          <w:sz w:val="22"/>
          <w:szCs w:val="22"/>
          <w:b w:val="1"/>
          <w:bCs w:val="1"/>
          <w:color w:val="auto"/>
        </w:rPr>
      </w:pPr>
    </w:p>
    <w:p>
      <w:pPr>
        <w:ind w:left="1292"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10.2 Party B hereby agrees that Party A may assign its rights and obligations under this Agreement to any third party, and Party A shall only be required to provide written notice to Party B upon such assignment, and no further consent from Party B shall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550" w:name="page551"/>
    <w:bookmarkEnd w:id="550"/>
    <w:p>
      <w:pPr>
        <w:ind w:left="660" w:hanging="652"/>
        <w:spacing w:after="0"/>
        <w:tabs>
          <w:tab w:leader="none" w:pos="660" w:val="left"/>
        </w:tabs>
        <w:numPr>
          <w:ilvl w:val="0"/>
          <w:numId w:val="4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10" w:lineRule="exact"/>
        <w:rPr>
          <w:rFonts w:ascii="Times New Roman" w:cs="Times New Roman" w:eastAsia="Times New Roman" w:hAnsi="Times New Roman"/>
          <w:sz w:val="22"/>
          <w:szCs w:val="22"/>
          <w:b w:val="1"/>
          <w:bCs w:val="1"/>
          <w:color w:val="auto"/>
        </w:rPr>
      </w:pPr>
    </w:p>
    <w:p>
      <w:pPr>
        <w:jc w:val="both"/>
        <w:ind w:left="66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72"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Supplement</w:t>
      </w:r>
    </w:p>
    <w:p>
      <w:pPr>
        <w:spacing w:after="0" w:line="210" w:lineRule="exact"/>
        <w:rPr>
          <w:rFonts w:ascii="Times New Roman" w:cs="Times New Roman" w:eastAsia="Times New Roman" w:hAnsi="Times New Roman"/>
          <w:sz w:val="22"/>
          <w:szCs w:val="22"/>
          <w:b w:val="1"/>
          <w:bCs w:val="1"/>
          <w:color w:val="auto"/>
        </w:rPr>
      </w:pPr>
    </w:p>
    <w:p>
      <w:pPr>
        <w:jc w:val="both"/>
        <w:ind w:left="660" w:right="20"/>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amendment or supplement to this Agreement may be made in writing and signed by the Parties. Any such signed amendment or supplement to this Agreement shall form an integral part of this Agreement and have the same legal effect.</w:t>
      </w:r>
    </w:p>
    <w:p>
      <w:pPr>
        <w:spacing w:after="0" w:line="16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10"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This Agreement is executed in two (2) originals, with each Party holding one original, and each original shall have equal legal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51" w:name="page552"/>
    <w:bookmarkEnd w:id="551"/>
    <w:p>
      <w:pPr>
        <w:ind w:firstLine="324"/>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Exclusive Business Cooperation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Xunlei Computer (Shenzhen) Co., Ltd. (Seal)</w:t>
      </w: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10795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Name:Kening Wu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Shenzhen Zhiyi Wensi Consulting Partnership (Limited Partnership). (Seal)</w:t>
      </w: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Hongfei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10795</wp:posOffset>
            </wp:positionV>
            <wp:extent cx="27946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Name:Hongfei Jia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22"/>
          <w:szCs w:val="22"/>
          <w:color w:val="auto"/>
        </w:rPr>
        <w:t>Annex 1 Service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22"/>
          <w:szCs w:val="22"/>
          <w:color w:val="auto"/>
        </w:rPr>
        <w:t>Annex 2 Intellectual Property License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22"/>
          <w:szCs w:val="22"/>
          <w:color w:val="auto"/>
        </w:rPr>
        <w:t>Annex 3 Equipment and Asset Lease Confirmation Form</w:t>
      </w:r>
    </w:p>
    <w:p>
      <w:pPr>
        <w:spacing w:after="0" w:line="200" w:lineRule="exact"/>
        <w:rPr>
          <w:sz w:val="20"/>
          <w:szCs w:val="20"/>
          <w:color w:val="auto"/>
        </w:rPr>
      </w:pPr>
    </w:p>
    <w:p>
      <w:pPr>
        <w:spacing w:after="0" w:line="222"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555" w:name="page556"/>
    <w:bookmarkEnd w:id="555"/>
    <w:p>
      <w:pPr>
        <w:jc w:val="right"/>
        <w:spacing w:after="0"/>
        <w:rPr>
          <w:sz w:val="20"/>
          <w:szCs w:val="20"/>
          <w:color w:val="auto"/>
        </w:rPr>
      </w:pPr>
      <w:r>
        <w:rPr>
          <w:rFonts w:ascii="Times New Roman" w:cs="Times New Roman" w:eastAsia="Times New Roman" w:hAnsi="Times New Roman"/>
          <w:sz w:val="18"/>
          <w:szCs w:val="18"/>
          <w:b w:val="1"/>
          <w:bCs w:val="1"/>
          <w:color w:val="auto"/>
        </w:rPr>
        <w:t>Exhibit 4.42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BUSINESS COOPERATION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This Exclusive Business Cooperation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May 1, 2022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between the following parties:</w:t>
      </w:r>
    </w:p>
    <w:p>
      <w:pPr>
        <w:spacing w:after="0" w:line="15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a wholly foreign-owned enterprise duly established and validly existing under the PRC laws, with its address at Room 1606A, Building 7, Qianhai Excellence Financial Center (Phase I), Unit 2, Guiwan Area, Nanshan Subdistrict, Qianhai Shenzhen-Hong Kong Modern Service Industry Cooperation Zone, Shenzhen;</w:t>
      </w:r>
    </w:p>
    <w:p>
      <w:pPr>
        <w:spacing w:after="0" w:line="171"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B: </w:t>
      </w:r>
      <w:r>
        <w:rPr>
          <w:rFonts w:ascii="Times New Roman" w:cs="Times New Roman" w:eastAsia="Times New Roman" w:hAnsi="Times New Roman"/>
          <w:sz w:val="18"/>
          <w:szCs w:val="18"/>
          <w:b w:val="1"/>
          <w:bCs w:val="1"/>
          <w:color w:val="auto"/>
        </w:rPr>
        <w:t>Shenzhen Zhilue Xinsi Consulting Co., Ltd.,</w:t>
      </w:r>
      <w:r>
        <w:rPr>
          <w:rFonts w:ascii="Times New Roman" w:cs="Times New Roman" w:eastAsia="Times New Roman" w:hAnsi="Times New Roman"/>
          <w:sz w:val="18"/>
          <w:szCs w:val="18"/>
          <w:color w:val="auto"/>
        </w:rPr>
        <w:t xml:space="preserve"> a limited liability company duly established and validly existing under the PRC laws, with its address at Room 7A758, Block AB, New Energy Building, No. 2239 Nanhai Avenue, Nanguang Community, Nanshan Subdistrict, Nanshan District, Shenzhen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Party A and Party B are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340" w:right="20" w:hanging="332"/>
        <w:spacing w:after="0" w:line="282" w:lineRule="auto"/>
        <w:tabs>
          <w:tab w:leader="none" w:pos="3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established in the PRC and possesses the necessary resources to provide technical and consulting services;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domestic company established in the PRC. All business activities currently conducted and to be conducted by Party B during the term of this Agreement are hereinafter collectively referred to as the “</w:t>
      </w:r>
      <w:r>
        <w:rPr>
          <w:rFonts w:ascii="Times New Roman" w:cs="Times New Roman" w:eastAsia="Times New Roman" w:hAnsi="Times New Roman"/>
          <w:sz w:val="18"/>
          <w:szCs w:val="18"/>
          <w:b w:val="1"/>
          <w:bCs w:val="1"/>
          <w:color w:val="auto"/>
        </w:rPr>
        <w:t>Principal Business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agrees to utilize its technological expertise, personnel and information advantages to provide Party B with exclusive technical support, consulting and other services related to the Principal Business during the term of this Agreement, and Party B agrees to accept such services provided by Party A or its designee in accordance with the terms and conditions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ind w:left="660" w:hanging="652"/>
        <w:spacing w:after="0"/>
        <w:tabs>
          <w:tab w:leader="none" w:pos="660"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Business Cooperation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Technical Support, Consulting Services and Other Services:</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Subject to the terms and conditions of this Agreement, Party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6" w:name="page557"/>
    <w:bookmarkEnd w:id="556"/>
    <w:p>
      <w:pPr>
        <w:ind w:left="1680"/>
        <w:spacing w:after="0" w:line="282" w:lineRule="auto"/>
        <w:rPr>
          <w:sz w:val="20"/>
          <w:szCs w:val="20"/>
          <w:color w:val="auto"/>
        </w:rPr>
      </w:pPr>
      <w:r>
        <w:rPr>
          <w:rFonts w:ascii="Times New Roman" w:cs="Times New Roman" w:eastAsia="Times New Roman" w:hAnsi="Times New Roman"/>
          <w:sz w:val="18"/>
          <w:szCs w:val="18"/>
          <w:color w:val="auto"/>
        </w:rPr>
        <w:t>hereby appoints Party A as its exclusive service provider during the term of this Agreement to provide comprehensive technical support, consulting services and other services, including but not limited to:</w:t>
      </w:r>
    </w:p>
    <w:p>
      <w:pPr>
        <w:spacing w:after="0" w:line="162" w:lineRule="exact"/>
        <w:rPr>
          <w:sz w:val="20"/>
          <w:szCs w:val="20"/>
          <w:color w:val="auto"/>
        </w:rPr>
      </w:pPr>
    </w:p>
    <w:p>
      <w:pPr>
        <w:ind w:left="1520" w:hanging="514"/>
        <w:spacing w:after="0"/>
        <w:tabs>
          <w:tab w:leader="none" w:pos="15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maintenance and upgrading of relevant application software required for Party B’s business;</w:t>
      </w:r>
    </w:p>
    <w:p>
      <w:pPr>
        <w:spacing w:after="0" w:line="225" w:lineRule="exact"/>
        <w:rPr>
          <w:rFonts w:ascii="Times New Roman" w:cs="Times New Roman" w:eastAsia="Times New Roman" w:hAnsi="Times New Roman"/>
          <w:sz w:val="18"/>
          <w:szCs w:val="18"/>
          <w:color w:val="auto"/>
        </w:rPr>
      </w:pPr>
    </w:p>
    <w:p>
      <w:pPr>
        <w:ind w:left="1520" w:right="20" w:hanging="514"/>
        <w:spacing w:after="0" w:line="282" w:lineRule="auto"/>
        <w:tabs>
          <w:tab w:leader="none" w:pos="15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installation, routine management, maintenance and upgrading of computer network systems, hardware equipment and databases;</w:t>
      </w:r>
    </w:p>
    <w:p>
      <w:pPr>
        <w:spacing w:after="0" w:line="161" w:lineRule="exact"/>
        <w:rPr>
          <w:rFonts w:ascii="Times New Roman" w:cs="Times New Roman" w:eastAsia="Times New Roman" w:hAnsi="Times New Roman"/>
          <w:sz w:val="18"/>
          <w:szCs w:val="18"/>
          <w:color w:val="auto"/>
        </w:rPr>
      </w:pPr>
    </w:p>
    <w:p>
      <w:pPr>
        <w:ind w:left="1520" w:hanging="514"/>
        <w:spacing w:after="0"/>
        <w:tabs>
          <w:tab w:leader="none" w:pos="15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and professional training for relevant personnel of Party B;</w:t>
      </w:r>
    </w:p>
    <w:p>
      <w:pPr>
        <w:spacing w:after="0" w:line="225" w:lineRule="exact"/>
        <w:rPr>
          <w:rFonts w:ascii="Times New Roman" w:cs="Times New Roman" w:eastAsia="Times New Roman" w:hAnsi="Times New Roman"/>
          <w:sz w:val="18"/>
          <w:szCs w:val="18"/>
          <w:color w:val="auto"/>
        </w:rPr>
      </w:pPr>
    </w:p>
    <w:p>
      <w:pPr>
        <w:ind w:left="1520" w:right="20" w:hanging="514"/>
        <w:spacing w:after="0" w:line="282" w:lineRule="auto"/>
        <w:tabs>
          <w:tab w:leader="none" w:pos="15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to Party B in consulting on, collecting and researching technical and market information (excluding market surveys prohibited for wholly foreign-owned enterprises under the PRC laws);</w:t>
      </w:r>
    </w:p>
    <w:p>
      <w:pPr>
        <w:spacing w:after="0" w:line="161" w:lineRule="exact"/>
        <w:rPr>
          <w:rFonts w:ascii="Times New Roman" w:cs="Times New Roman" w:eastAsia="Times New Roman" w:hAnsi="Times New Roman"/>
          <w:sz w:val="18"/>
          <w:szCs w:val="18"/>
          <w:color w:val="auto"/>
        </w:rPr>
      </w:pPr>
    </w:p>
    <w:p>
      <w:pPr>
        <w:ind w:left="1520" w:hanging="514"/>
        <w:spacing w:after="0"/>
        <w:tabs>
          <w:tab w:leader="none" w:pos="15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enterprise management consulting services to Party B;</w:t>
      </w:r>
    </w:p>
    <w:p>
      <w:pPr>
        <w:spacing w:after="0" w:line="225" w:lineRule="exact"/>
        <w:rPr>
          <w:rFonts w:ascii="Times New Roman" w:cs="Times New Roman" w:eastAsia="Times New Roman" w:hAnsi="Times New Roman"/>
          <w:sz w:val="18"/>
          <w:szCs w:val="18"/>
          <w:color w:val="auto"/>
        </w:rPr>
      </w:pPr>
    </w:p>
    <w:p>
      <w:pPr>
        <w:ind w:left="1520" w:right="20" w:hanging="514"/>
        <w:spacing w:after="0" w:line="282" w:lineRule="auto"/>
        <w:tabs>
          <w:tab w:leader="none" w:pos="15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related services to be provided from time to time at the request of Party B to the extent permitted under the PRC laws.</w:t>
      </w:r>
    </w:p>
    <w:p>
      <w:pPr>
        <w:spacing w:after="0" w:line="162" w:lineRule="exact"/>
        <w:rPr>
          <w:sz w:val="20"/>
          <w:szCs w:val="20"/>
          <w:color w:val="auto"/>
        </w:rPr>
      </w:pPr>
    </w:p>
    <w:p>
      <w:pPr>
        <w:jc w:val="both"/>
        <w:ind w:left="150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specific scope, methods, personnel and service fees for the services described above shall be confirmed periodically or from time to time by the Parties in accordance with the template set forth in Annex 1 Service Schedule.</w:t>
      </w:r>
    </w:p>
    <w:p>
      <w:pPr>
        <w:spacing w:after="0" w:line="176" w:lineRule="exact"/>
        <w:rPr>
          <w:sz w:val="20"/>
          <w:szCs w:val="20"/>
          <w:color w:val="auto"/>
        </w:rPr>
      </w:pPr>
    </w:p>
    <w:p>
      <w:pPr>
        <w:jc w:val="both"/>
        <w:ind w:left="1500" w:hanging="647"/>
        <w:spacing w:after="0" w:line="258" w:lineRule="auto"/>
        <w:tabs>
          <w:tab w:leader="none" w:pos="14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Party B agrees to accept the services provided by Party A. Party B further agrees that, unless otherwise agreed in writing by Party A in advance, during the term of this Agreement, Party B shall not, directly or indirectly, obtain from any third party any services identical or similar to the services contemplated under this Agreement, nor establish any similar cooperation relationship with any third party with respect to the matters contemplated herein.</w:t>
      </w:r>
    </w:p>
    <w:p>
      <w:pPr>
        <w:spacing w:after="0" w:line="183" w:lineRule="exact"/>
        <w:rPr>
          <w:sz w:val="20"/>
          <w:szCs w:val="20"/>
          <w:color w:val="auto"/>
        </w:rPr>
      </w:pPr>
    </w:p>
    <w:p>
      <w:pPr>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Intellectual Property License: Party A licenses Party B to use relevant software, patents and trademarks lawfully owned by Party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57" w:name="page558"/>
    <w:bookmarkEnd w:id="557"/>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specific content, method and scope of license, license term and license fees shall be confirmed periodically or from time to time by the Parties in accordance with the template set forth in Annex 2 Intellectual Property License Schedule.</w:t>
      </w:r>
    </w:p>
    <w:p>
      <w:pPr>
        <w:spacing w:after="0" w:line="162"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Equipment and Asset Lease: Party A shall lease equipment and assets to Party B. Based on the specific leasing arrangements, the Parties shall confirm the type, scope, lease term and rental fees of such equipment and assets periodically or from time to time in accordance with the template set forth in Annex 3 Equipment and Asset Lease Confirmation Form.</w:t>
      </w:r>
    </w:p>
    <w:p>
      <w:pPr>
        <w:spacing w:after="0" w:line="180" w:lineRule="exact"/>
        <w:rPr>
          <w:sz w:val="20"/>
          <w:szCs w:val="20"/>
          <w:color w:val="auto"/>
        </w:rPr>
      </w:pPr>
    </w:p>
    <w:p>
      <w:pPr>
        <w:jc w:val="both"/>
        <w:ind w:left="840" w:right="2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Parties agree that Party A may designate other Persons (such designated Persons may enter into agreements with Party B as described in Sections 1.1, 1.2, 1.3 and 1.5) to provide the services, licenses or leasing arrangements contemplated under this Agreement.</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left="1500" w:right="2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Party A and Party B agree that, during the term of this Agreement, Party B may, as necessary, enter into further service agreements with Party A or any Person designated by Party A to specify the details of the services, including scope, methods, personnel and fees.</w:t>
      </w:r>
    </w:p>
    <w:p>
      <w:pPr>
        <w:spacing w:after="0" w:line="176" w:lineRule="exact"/>
        <w:rPr>
          <w:sz w:val="20"/>
          <w:szCs w:val="20"/>
          <w:color w:val="auto"/>
        </w:rPr>
      </w:pPr>
    </w:p>
    <w:p>
      <w:pPr>
        <w:jc w:val="both"/>
        <w:ind w:left="1500" w:hanging="647"/>
        <w:spacing w:after="0" w:line="258" w:lineRule="auto"/>
        <w:tabs>
          <w:tab w:leader="none" w:pos="14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For the purpose of better performing this Agreement, Party A and Party B agree that, during the term of this Agreement and as business progresses, Party B shall enter into equipment or asset lease agreements or intellectual property license agreements with Party A or any Person designated by Party A as needed, pursuant to which Party A shall provide relevant equipment or assets to Party B for use or license relevant intellectual property to Party B for use.</w:t>
      </w:r>
    </w:p>
    <w:p>
      <w:pPr>
        <w:spacing w:after="0" w:line="183"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Party B hereby grants Party A an irrevocable and exclusive option, pursuant to which Party A shall have the right, to the extent permitted under the PRC laws and at its sole discretion, to purchase any part or all of Party B’s assets at the lowest price permitted under the PRC laws. The Parties shall enter into a separate asset transfer agreement to specify the terms and conditions of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58" w:name="page559"/>
    <w:bookmarkEnd w:id="558"/>
    <w:p>
      <w:pPr>
        <w:ind w:left="652" w:hanging="652"/>
        <w:spacing w:after="0"/>
        <w:tabs>
          <w:tab w:leader="none" w:pos="652"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Fees and Payment Method</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2.1During the term of this Agreement, Party B shall pay Party A service fees for the services provided under Section 1.1 as follows:</w:t>
      </w:r>
    </w:p>
    <w:p>
      <w:pPr>
        <w:spacing w:after="0" w:line="162" w:lineRule="exact"/>
        <w:rPr>
          <w:sz w:val="20"/>
          <w:szCs w:val="20"/>
          <w:color w:val="auto"/>
        </w:rPr>
      </w:pPr>
    </w:p>
    <w:p>
      <w:pPr>
        <w:ind w:left="1292"/>
        <w:spacing w:after="0"/>
        <w:tabs>
          <w:tab w:leader="none" w:pos="1931"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For the services provided by Party A to Party B, Party B shall pay service fees to Party A on a quarterly basis.</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The amount of service fees for each quarter shall be determined by Party A based on the following factors:</w:t>
      </w:r>
    </w:p>
    <w:p>
      <w:pPr>
        <w:spacing w:after="0" w:line="207" w:lineRule="exact"/>
        <w:rPr>
          <w:sz w:val="20"/>
          <w:szCs w:val="20"/>
          <w:color w:val="auto"/>
        </w:rPr>
      </w:pPr>
    </w:p>
    <w:p>
      <w:pPr>
        <w:ind w:left="2592" w:hanging="648"/>
        <w:spacing w:after="0"/>
        <w:tabs>
          <w:tab w:leader="none" w:pos="2592"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difficulty of the services;</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positions of Party A’s employees and the time required to provide such services;</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content and commercial value of the services;</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for similar types of services;</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condition of Party B.</w:t>
      </w:r>
    </w:p>
    <w:p>
      <w:pPr>
        <w:spacing w:after="0" w:line="225" w:lineRule="exact"/>
        <w:rPr>
          <w:sz w:val="20"/>
          <w:szCs w:val="20"/>
          <w:color w:val="auto"/>
        </w:rPr>
      </w:pPr>
    </w:p>
    <w:p>
      <w:pPr>
        <w:jc w:val="both"/>
        <w:ind w:left="1952"/>
        <w:spacing w:after="0" w:line="266" w:lineRule="auto"/>
        <w:rPr>
          <w:sz w:val="20"/>
          <w:szCs w:val="20"/>
          <w:color w:val="auto"/>
        </w:rPr>
      </w:pPr>
      <w:r>
        <w:rPr>
          <w:rFonts w:ascii="Times New Roman" w:cs="Times New Roman" w:eastAsia="Times New Roman" w:hAnsi="Times New Roman"/>
          <w:sz w:val="18"/>
          <w:szCs w:val="18"/>
          <w:color w:val="auto"/>
        </w:rPr>
        <w:t>However, the quarterly service fee shall not be less than ninety percent (90%) of the balance of Party B’s quarterly revenue after deducting Party B’s operating costs and expenses recognized by the Parties and losses carried forward from previous fiscal years.</w:t>
      </w:r>
    </w:p>
    <w:p>
      <w:pPr>
        <w:spacing w:after="0" w:line="176" w:lineRule="exact"/>
        <w:rPr>
          <w:sz w:val="20"/>
          <w:szCs w:val="20"/>
          <w:color w:val="auto"/>
        </w:rPr>
      </w:pPr>
    </w:p>
    <w:p>
      <w:pPr>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During the term of this Agreement, if Party A licenses intellectual property to Party B or leases equipment or assets to Party B, the license fees and rental fees shall be determined by Party A based on actual circumstances.</w:t>
      </w:r>
    </w:p>
    <w:p>
      <w:pPr>
        <w:spacing w:after="0" w:line="162"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Party A shall have the right to unilaterally adjust the fees described in Sections 2.1 and 2.2.</w:t>
      </w:r>
    </w:p>
    <w:p>
      <w:pPr>
        <w:spacing w:after="0" w:line="221" w:lineRule="exact"/>
        <w:rPr>
          <w:sz w:val="20"/>
          <w:szCs w:val="20"/>
          <w:color w:val="auto"/>
        </w:rPr>
      </w:pPr>
    </w:p>
    <w:p>
      <w:pPr>
        <w:ind w:left="652" w:hanging="652"/>
        <w:spacing w:after="0"/>
        <w:tabs>
          <w:tab w:leader="none" w:pos="652"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and Confidentiality</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3.1Party A shall exclusively own all intellectual property rights arising from or created in connection with the performance of this Agreement, including but not limited to copyrights, patent rights, patent application rights, software, technical secrets, trade secrets and other rights and interests. Party B shall execute all appropriate documents, take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60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559" w:name="page560"/>
    <w:bookmarkEnd w:id="559"/>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appropriate actions, file all appropriate documents and/or applications, provide all appropriate assistance, and take all other actions deemed necessary by Party A at its sole discretion to vest such intellectual property rights, title and interests in Party A and/or perfect Party A’s protection of such intellectual property rights.</w:t>
      </w:r>
    </w:p>
    <w:p>
      <w:pPr>
        <w:spacing w:after="0" w:line="176" w:lineRule="exact"/>
        <w:rPr>
          <w:sz w:val="20"/>
          <w:szCs w:val="20"/>
          <w:color w:val="auto"/>
        </w:rPr>
      </w:pPr>
    </w:p>
    <w:p>
      <w:pPr>
        <w:jc w:val="both"/>
        <w:ind w:left="1292" w:hanging="647"/>
        <w:spacing w:after="0" w:line="253" w:lineRule="auto"/>
        <w:tabs>
          <w:tab w:leader="none" w:pos="1271"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Parties acknowledge and confirm that this Agreement, the contents hereof and any oral or written information exchanged between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88" w:lineRule="exact"/>
        <w:rPr>
          <w:sz w:val="20"/>
          <w:szCs w:val="20"/>
          <w:color w:val="auto"/>
        </w:rPr>
      </w:pPr>
    </w:p>
    <w:p>
      <w:pPr>
        <w:ind w:left="652" w:hanging="652"/>
        <w:spacing w:after="0"/>
        <w:tabs>
          <w:tab w:leader="none" w:pos="652"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229"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Representations, Warranties and Covenants of Party A:</w:t>
      </w:r>
    </w:p>
    <w:p>
      <w:pPr>
        <w:spacing w:after="0" w:line="225" w:lineRule="exact"/>
        <w:rPr>
          <w:sz w:val="20"/>
          <w:szCs w:val="20"/>
          <w:color w:val="auto"/>
        </w:rPr>
      </w:pPr>
    </w:p>
    <w:p>
      <w:pPr>
        <w:jc w:val="both"/>
        <w:ind w:left="1952" w:hanging="647"/>
        <w:spacing w:after="0" w:line="266" w:lineRule="auto"/>
        <w:tabs>
          <w:tab w:leader="none" w:pos="1931"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Party A is a wholly foreign-owned enterprise duly established and validly existing under the PRC laws. Party A or its designated service provider shall obtain all necessary governmental permits and licenses required for providing the services under this Agreement prior to providing such services.</w:t>
      </w:r>
    </w:p>
    <w:p>
      <w:pPr>
        <w:spacing w:after="0" w:line="176" w:lineRule="exact"/>
        <w:rPr>
          <w:sz w:val="20"/>
          <w:szCs w:val="20"/>
          <w:color w:val="auto"/>
        </w:rPr>
      </w:pPr>
    </w:p>
    <w:p>
      <w:pPr>
        <w:ind w:left="1292"/>
        <w:spacing w:after="0"/>
        <w:tabs>
          <w:tab w:leader="none" w:pos="1931"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Party A has taken all necessary corporate actions, obtained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60" w:name="page561"/>
    <w:bookmarkEnd w:id="560"/>
    <w:p>
      <w:pPr>
        <w:jc w:val="both"/>
        <w:ind w:left="1952"/>
        <w:spacing w:after="0" w:line="266" w:lineRule="auto"/>
        <w:rPr>
          <w:sz w:val="20"/>
          <w:szCs w:val="20"/>
          <w:color w:val="auto"/>
        </w:rPr>
      </w:pPr>
      <w:r>
        <w:rPr>
          <w:rFonts w:ascii="Times New Roman" w:cs="Times New Roman" w:eastAsia="Times New Roman" w:hAnsi="Times New Roman"/>
          <w:sz w:val="18"/>
          <w:szCs w:val="18"/>
          <w:color w:val="auto"/>
        </w:rPr>
        <w:t>necessary authorizations and secured all required consents and approvals from third parties and governmental authorities (if required) for the execution, delivery and performance of this Agreement. The execution, delivery and performance of this Agreement by Party A do not violate any applicable laws or regulations.</w:t>
      </w:r>
    </w:p>
    <w:p>
      <w:pPr>
        <w:spacing w:after="0" w:line="176"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This Agreement constitutes legal, valid and binding obligations of Party A and is enforceable against Party A in accordance with its terms.</w:t>
      </w:r>
    </w:p>
    <w:p>
      <w:pPr>
        <w:spacing w:after="0" w:line="162"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Representations, Warranties and Covenants of Party B:</w:t>
      </w:r>
    </w:p>
    <w:p>
      <w:pPr>
        <w:spacing w:after="0" w:line="225"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Party B is a company duly established and validly existing under the PRC laws and has obtained and shall maintain all necessary governmental permits and licenses required for conducting the Principal Business.</w:t>
      </w:r>
    </w:p>
    <w:p>
      <w:pPr>
        <w:spacing w:after="0" w:line="162" w:lineRule="exact"/>
        <w:rPr>
          <w:sz w:val="20"/>
          <w:szCs w:val="20"/>
          <w:color w:val="auto"/>
        </w:rPr>
      </w:pPr>
    </w:p>
    <w:p>
      <w:pPr>
        <w:jc w:val="both"/>
        <w:ind w:left="1952" w:hanging="647"/>
        <w:spacing w:after="0" w:line="261" w:lineRule="auto"/>
        <w:tabs>
          <w:tab w:leader="none" w:pos="1931"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Party B has taken all necessary corporate actions, obtained all necessary authorizations and secured all required consents and approvals from third parties and governmental authorities (if required) for the execution, delivery and performance of this Agreement. The execution, delivery and performance of this Agreement by Party B do not violate any applicable laws or regulations.</w:t>
      </w:r>
    </w:p>
    <w:p>
      <w:pPr>
        <w:spacing w:after="0" w:line="180"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This Agreement constitutes legal, valid and binding obligations of Party B and is enforceable against Party B in accordance with its terms.</w:t>
      </w:r>
    </w:p>
    <w:p>
      <w:pPr>
        <w:spacing w:after="0" w:line="158" w:lineRule="exact"/>
        <w:rPr>
          <w:sz w:val="20"/>
          <w:szCs w:val="20"/>
          <w:color w:val="auto"/>
        </w:rPr>
      </w:pPr>
    </w:p>
    <w:p>
      <w:pPr>
        <w:ind w:left="652" w:hanging="652"/>
        <w:spacing w:after="0"/>
        <w:tabs>
          <w:tab w:leader="none" w:pos="652"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Agreement</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5.1This agreement shall come into effect as of the date of its formal signing by both parties. Unless otherwise explicitly stipulated in this agreement or decided in writing by Party A to terminate it, the term of this agreement shall be 20 years. If Party A has no objection before the expiration date, the term of this agreement shall be automatically extended for another 10 years, and so on. Party A has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61" w:name="page562"/>
    <w:bookmarkEnd w:id="561"/>
    <w:p>
      <w:pPr>
        <w:ind w:left="1292"/>
        <w:spacing w:after="0"/>
        <w:rPr>
          <w:sz w:val="20"/>
          <w:szCs w:val="20"/>
          <w:color w:val="auto"/>
        </w:rPr>
      </w:pPr>
      <w:r>
        <w:rPr>
          <w:rFonts w:ascii="Times New Roman" w:cs="Times New Roman" w:eastAsia="Times New Roman" w:hAnsi="Times New Roman"/>
          <w:sz w:val="18"/>
          <w:szCs w:val="18"/>
          <w:color w:val="auto"/>
        </w:rPr>
        <w:t>unilaterally decide to extend or shorten the term of this agreement based on the actual situation.</w:t>
      </w:r>
    </w:p>
    <w:p>
      <w:pPr>
        <w:spacing w:after="0" w:line="225" w:lineRule="exact"/>
        <w:rPr>
          <w:sz w:val="20"/>
          <w:szCs w:val="20"/>
          <w:color w:val="auto"/>
        </w:rPr>
      </w:pPr>
    </w:p>
    <w:p>
      <w:pPr>
        <w:jc w:val="both"/>
        <w:ind w:left="1292" w:hanging="647"/>
        <w:spacing w:after="0" w:line="261" w:lineRule="auto"/>
        <w:tabs>
          <w:tab w:leader="none" w:pos="1271"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If, during the term of this Agreement, the business term of either Party expires, such Party shall promptly apply for renewal of its business term so as to ensure the continued validity and performance of this Agreement. If such application for renewal is not approved or consented to by the competent authorities, this Agreement shall terminate upon the expiration of such Party’s business term.</w:t>
      </w:r>
    </w:p>
    <w:p>
      <w:pPr>
        <w:spacing w:after="0" w:line="180" w:lineRule="exact"/>
        <w:rPr>
          <w:sz w:val="20"/>
          <w:szCs w:val="20"/>
          <w:color w:val="auto"/>
        </w:rPr>
      </w:pPr>
    </w:p>
    <w:p>
      <w:pPr>
        <w:jc w:val="both"/>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Upon termination of this Agreement, the rights and obligations of the Parties under Sections 3, 6, 7 and this Section 5.3 shall survive such termination.</w:t>
      </w:r>
    </w:p>
    <w:p>
      <w:pPr>
        <w:spacing w:after="0" w:line="158" w:lineRule="exact"/>
        <w:rPr>
          <w:sz w:val="20"/>
          <w:szCs w:val="20"/>
          <w:color w:val="auto"/>
        </w:rPr>
      </w:pPr>
    </w:p>
    <w:p>
      <w:pPr>
        <w:ind w:left="652" w:hanging="652"/>
        <w:spacing w:after="0"/>
        <w:tabs>
          <w:tab w:leader="none" w:pos="652"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execution, validity, interpretation, performance, amendment and termination of this Agreement and the resolution of any disputes arising hereunder shall be governed by the PRC laws.</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6.2Any dispute arising from the interpretation or performance of this Agreement shall first be resolved through friendly consultation between the Parties. If the dispute cannot be resolved within thirty (30) days after one Party delivers a written notice requesting consultation, any Party may submit such dispute to the China International Economic and Trade Arbitration Commission (“CIETAC”) for arbitration in accordance with its arbitration rules. The arbitration shall be conducted in Shenzhen, and the language of arbitration shall be Chinese. The arbitral award shall be final and binding upon the Parties.</w:t>
      </w:r>
    </w:p>
    <w:p>
      <w:pPr>
        <w:spacing w:after="0" w:line="187" w:lineRule="exact"/>
        <w:rPr>
          <w:rFonts w:ascii="Times New Roman" w:cs="Times New Roman" w:eastAsia="Times New Roman" w:hAnsi="Times New Roman"/>
          <w:sz w:val="18"/>
          <w:szCs w:val="18"/>
          <w:b w:val="1"/>
          <w:bCs w:val="1"/>
          <w:color w:val="auto"/>
        </w:rPr>
      </w:pPr>
    </w:p>
    <w:p>
      <w:pPr>
        <w:ind w:left="129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The tax burden arising from the execution of this agreement by each party shall be borne by each party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60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62" w:name="page563"/>
    <w:bookmarkEnd w:id="562"/>
    <w:p>
      <w:pPr>
        <w:ind w:left="652" w:hanging="652"/>
        <w:spacing w:after="0"/>
        <w:tabs>
          <w:tab w:leader="none" w:pos="652"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 and Indemnification</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7.1If Party B materially breaches any provision of this Agreement, Party A shall have the right to terminate this Agreement and/or require Party B to compensate for damages. This Section 7.1 shall not prejudice any other rights of Party A under this Agreement.</w:t>
      </w:r>
    </w:p>
    <w:p>
      <w:pPr>
        <w:spacing w:after="0" w:line="175"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7.2Except as otherwise required by applicable laws, Party B shall not have any right to terminate or rescind this Agreement under any circumstances.</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7.3Party B shall indemnify Party A against any and all losses, damages, liabilities or expenses incurred by Party A arising from or in connection with any litigation, claim or other demand against Party A in connection with the services provided by Party A to Party B under this Agreement, except to the extent that such losses, damages, liabilities or expenses arise from Party A’s gross negligence or willful misconduct. 8.</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8.1If either Party is prevented from performing or is unable to fully perform this Agreement due to any earthquake, typhoon, flood, fire, epidemic, war, riot, hostile action, public disturbance, strike or any other event that is unforeseeable, unavoidable and insurmountable (“Force Majeure”), the affected Party shall not be liable for such non-performance or partial non-performance caused directly by such Force Majeure event. The affected Party shall promptly notify the other Party in writing without delay and shall provide details of the Force Majeure event within fifteen (15) days after issuing such written notice, explaining the reasons for such non-performance, partial non-performance or delay in performance.</w:t>
      </w:r>
    </w:p>
    <w:p>
      <w:pPr>
        <w:spacing w:after="0" w:line="188"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8.2If the Party claiming Force Majeure fails to notify the other Party and provide appropriate supporting evidence in accordance with the above provisions, such Party shall not be exempted from liability for failure to perform its obligations under this Agreement. The affected Party shall use reasonable efforts to mitigate the consequences of the Force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563" w:name="page564"/>
    <w:bookmarkEnd w:id="563"/>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Majeure event and shall resume performance of its obligations as soon as practicable after the Force Majeure event ceases. If the affected Party fails to resume performance of its obligations after the reasons for suspension of performance due to Force Majeure have ceased to exist, such Party shall bear liability to the other Party.</w:t>
      </w:r>
    </w:p>
    <w:p>
      <w:pPr>
        <w:spacing w:after="0" w:line="176"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Upon the occurrence of a Force Majeure event, the Parties shall immediately consult with each other to seek an equitable solution and shall use all reasonable efforts to minimize the consequences of such Force Majeure event.</w:t>
      </w:r>
    </w:p>
    <w:p>
      <w:pPr>
        <w:spacing w:after="0" w:line="158" w:lineRule="exact"/>
        <w:rPr>
          <w:sz w:val="20"/>
          <w:szCs w:val="20"/>
          <w:color w:val="auto"/>
        </w:rPr>
      </w:pPr>
    </w:p>
    <w:p>
      <w:pPr>
        <w:ind w:left="652" w:hanging="652"/>
        <w:spacing w:after="0"/>
        <w:tabs>
          <w:tab w:leader="none" w:pos="652" w:val="left"/>
        </w:tabs>
        <w:numPr>
          <w:ilvl w:val="0"/>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ind w:left="1952" w:right="20"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If delivered by hand, courier service or registered mail (postage prepaid), the date of receipt or rejection at the designated address shall be deemed the effective delivery date;</w:t>
      </w:r>
    </w:p>
    <w:p>
      <w:pPr>
        <w:spacing w:after="0" w:line="162" w:lineRule="exact"/>
        <w:rPr>
          <w:sz w:val="20"/>
          <w:szCs w:val="20"/>
          <w:color w:val="auto"/>
        </w:rPr>
      </w:pPr>
    </w:p>
    <w:p>
      <w:pPr>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If delivered by facsimile, the date of successful transmission (as evidenced by the automatically generated transmission confirmation) shall be deemed the effective delivery date.</w:t>
      </w:r>
    </w:p>
    <w:p>
      <w:pPr>
        <w:spacing w:after="0" w:line="158" w:lineRule="exact"/>
        <w:rPr>
          <w:sz w:val="20"/>
          <w:szCs w:val="20"/>
          <w:color w:val="auto"/>
        </w:rPr>
      </w:pPr>
    </w:p>
    <w:p>
      <w:pPr>
        <w:ind w:left="652" w:hanging="652"/>
        <w:spacing w:after="0"/>
        <w:tabs>
          <w:tab w:leader="none" w:pos="652" w:val="left"/>
        </w:tabs>
        <w:numPr>
          <w:ilvl w:val="0"/>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Party B shall not assign its rights or obligations under this Agreement to any third party without the prior written consent of Party A.</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Party B hereby agrees that Party A may assign its rights and obligations under this Agreement to any third party, and Party A shall only be required to provide written notice to Party B upon such assignment, and no further consent from Party B shall be required.</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64" w:name="page565"/>
    <w:bookmarkEnd w:id="564"/>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72" w:lineRule="exact"/>
        <w:rPr>
          <w:sz w:val="20"/>
          <w:szCs w:val="20"/>
          <w:color w:val="auto"/>
        </w:rPr>
      </w:pPr>
    </w:p>
    <w:p>
      <w:pPr>
        <w:ind w:left="652" w:hanging="652"/>
        <w:spacing w:after="0"/>
        <w:tabs>
          <w:tab w:leader="none" w:pos="652" w:val="left"/>
        </w:tabs>
        <w:numPr>
          <w:ilvl w:val="0"/>
          <w:numId w:val="4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Supplement</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or supplement to this Agreement may be made in writing and signed by the Parties. Any such signed amendment or supplement to this Agreement shall form an integral part of this Agreement and have the same legal effect.</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This Agreement is executed in two (2) originals, with each Party holding one original, and each original shall have equal legal effect.</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65" w:name="page566"/>
    <w:bookmarkEnd w:id="565"/>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Exclusive Business Cooperation Agreement to be duly executed by their authorized representatives as of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260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Hongfei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260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Name:Hongfei Jia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color w:val="auto"/>
        </w:rPr>
        <w:t>Annex 1 Service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color w:val="auto"/>
        </w:rPr>
        <w:t>Annex 2 Intellectual Property License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color w:val="auto"/>
        </w:rPr>
        <w:t>Annex 3 Equipment and Asset Lease Confirmation Form</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18"/>
          <w:szCs w:val="18"/>
          <w:b w:val="1"/>
          <w:bCs w:val="1"/>
          <w:color w:val="auto"/>
        </w:rPr>
        <w:t>Exhibit 4.43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PLEDGE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Equity Pledge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[February 27], 2025 in Shenzhen, the People’s Republic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 the following parties:</w:t>
      </w:r>
    </w:p>
    <w:p>
      <w:pPr>
        <w:spacing w:after="0" w:line="203"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 a wholly foreign-owned enterprise duly established and validly existing under the PRC laws, with its address at Room 0610-E12, Port Building, Maritime Center, No. 59 Linhai Avenue, Nanshan Subdistrict, Qianhai Shenzhen-Hongkong Modern Service Industry Cooperation Zone, Shenzhen;</w:t>
      </w:r>
    </w:p>
    <w:p>
      <w:pPr>
        <w:spacing w:after="0" w:line="171" w:lineRule="exact"/>
        <w:rPr>
          <w:sz w:val="20"/>
          <w:szCs w:val="20"/>
          <w:color w:val="auto"/>
        </w:rPr>
      </w:pPr>
    </w:p>
    <w:p>
      <w:pPr>
        <w:jc w:val="both"/>
        <w:ind w:left="660" w:hanging="647"/>
        <w:spacing w:after="0" w:line="286" w:lineRule="auto"/>
        <w:rPr>
          <w:sz w:val="20"/>
          <w:szCs w:val="20"/>
          <w:color w:val="auto"/>
        </w:rPr>
      </w:pPr>
      <w:r>
        <w:rPr>
          <w:rFonts w:ascii="Times New Roman" w:cs="Times New Roman" w:eastAsia="Times New Roman" w:hAnsi="Times New Roman"/>
          <w:sz w:val="18"/>
          <w:szCs w:val="18"/>
          <w:color w:val="auto"/>
        </w:rPr>
        <w:t xml:space="preserve">Party B: </w:t>
      </w:r>
      <w:r>
        <w:rPr>
          <w:rFonts w:ascii="Times New Roman" w:cs="Times New Roman" w:eastAsia="Times New Roman" w:hAnsi="Times New Roman"/>
          <w:sz w:val="18"/>
          <w:szCs w:val="18"/>
          <w:b w:val="1"/>
          <w:bCs w:val="1"/>
          <w:color w:val="auto"/>
        </w:rPr>
        <w:t>Li Xiaosong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a PRC citizen, ID No. ******************, residing at [Room 310-4-608, Science Park South Third Zone, Olympic Village Subdistrict, Chaoyang District, Beijing]; and</w:t>
      </w:r>
    </w:p>
    <w:p>
      <w:pPr>
        <w:spacing w:after="0" w:line="15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C: </w:t>
      </w:r>
      <w:r>
        <w:rPr>
          <w:rFonts w:ascii="Times New Roman" w:cs="Times New Roman" w:eastAsia="Times New Roman" w:hAnsi="Times New Roman"/>
          <w:sz w:val="18"/>
          <w:szCs w:val="18"/>
          <w:b w:val="1"/>
          <w:bCs w:val="1"/>
          <w:color w:val="auto"/>
        </w:rPr>
        <w:t>Shenzhen Zhilue Xinsi Consulting Co., Ltd.</w:t>
      </w:r>
      <w:r>
        <w:rPr>
          <w:rFonts w:ascii="Times New Roman" w:cs="Times New Roman" w:eastAsia="Times New Roman" w:hAnsi="Times New Roman"/>
          <w:sz w:val="18"/>
          <w:szCs w:val="18"/>
          <w:color w:val="auto"/>
        </w:rPr>
        <w:t>, a limited liability company duly established and validly existing under the PRC laws, with its address at Room 1374A, Guoxin Investment Building, No. 07 Gaoxin South 7th Road, High-Tech Zone Community, Yuehai Subdistrict, Nanshan District, Shenzhen.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Pledgee, the Pledgor and Party C are hereinafter referred to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right="20" w:hanging="652"/>
        <w:spacing w:after="0" w:line="266" w:lineRule="auto"/>
        <w:tabs>
          <w:tab w:leader="none" w:pos="6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is a limited liability company in the PRC. As of the date of this Agreement, Pledgor holds [40]% of the equity interest in Party C, representing registered capital of RMB [40,000]. Party C agrees to confirm the rights and obligations of the Pledgor and the Pledgee under this Agreement and to provide necessary assistance in registering the equity pledge.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foreign-owned enterprise duly registered in the PRC. The Pledgee has entered into an Exclusive Business Cooperation Agreement (as defined below) with Party C in which the Pledgor holds an equity interest;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70" w:name="page571"/>
    <w:bookmarkEnd w:id="570"/>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Pledgee, the Pledgor and Party C have entered into an Exclusive Option Agreement (as defined below); the Pledgee and the Pledgor have entered into a Loan Agreement (as defined below); and the Pledgor has executed a Power of Attorney in favor of the Pledgee (as defined below).</w:t>
      </w:r>
    </w:p>
    <w:p>
      <w:pPr>
        <w:spacing w:after="0" w:line="176" w:lineRule="exact"/>
        <w:rPr>
          <w:sz w:val="20"/>
          <w:szCs w:val="20"/>
          <w:color w:val="auto"/>
        </w:rPr>
      </w:pPr>
    </w:p>
    <w:p>
      <w:pPr>
        <w:jc w:val="both"/>
        <w:ind w:left="652" w:right="20" w:hanging="652"/>
        <w:spacing w:after="0" w:line="266" w:lineRule="auto"/>
        <w:tabs>
          <w:tab w:leader="none" w:pos="652"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the performance by Party C and the Pledgor of their respective obligations under the Exclusive Business Cooperation Agreement, the Exclusive Option Agreement, the Loan Agreement and the Power of Attorney, the Pledgor agrees to pledge all of its equity interest in Party C in favor of the Pledgee as security for the performance of such obligations.</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 order to perform the provisions of the Transaction Documents, the Parties hereby agree as follows:</w:t>
      </w:r>
    </w:p>
    <w:p>
      <w:pPr>
        <w:spacing w:after="0" w:line="221" w:lineRule="exact"/>
        <w:rPr>
          <w:sz w:val="20"/>
          <w:szCs w:val="20"/>
          <w:color w:val="auto"/>
        </w:rPr>
      </w:pPr>
    </w:p>
    <w:p>
      <w:pPr>
        <w:ind w:left="652" w:hanging="652"/>
        <w:spacing w:after="0"/>
        <w:tabs>
          <w:tab w:leader="none" w:pos="652"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herein, the following terms shall have the meanings set forth below:</w:t>
      </w:r>
    </w:p>
    <w:p>
      <w:pPr>
        <w:spacing w:after="0" w:line="225"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1.1“Pledge” means the security interest granted by the Pledgor to the Pledgee pursuant to Section 2 of this Agreement, pursuant to which the Pledgee shall be entitled to priority in receiving repayment from the proceeds derived from the conversion into value, auction or sale of the Pledged Equity.</w:t>
      </w:r>
    </w:p>
    <w:p>
      <w:pPr>
        <w:spacing w:after="0" w:line="17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7"/>
          <w:szCs w:val="17"/>
          <w:color w:val="auto"/>
        </w:rPr>
        <w:t>“Pledged Equity” means all equity interests in Party C currently held or to be held in the future by the Pledgor.</w:t>
      </w:r>
    </w:p>
    <w:p>
      <w:pPr>
        <w:spacing w:after="0" w:line="22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“Pledge Term” means the period set forth in Section 3 of this Agreement.</w:t>
      </w:r>
    </w:p>
    <w:p>
      <w:pPr>
        <w:spacing w:after="0" w:line="225"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1.4“Transaction Documents” means the Exclusive Business Cooperation Agreement entered into between Party C and the Pledgee on [May 1], 2022 (“</w:t>
      </w:r>
      <w:r>
        <w:rPr>
          <w:rFonts w:ascii="Times New Roman" w:cs="Times New Roman" w:eastAsia="Times New Roman" w:hAnsi="Times New Roman"/>
          <w:sz w:val="18"/>
          <w:szCs w:val="18"/>
          <w:b w:val="1"/>
          <w:bCs w:val="1"/>
          <w:color w:val="auto"/>
        </w:rPr>
        <w:t>Exclusive Business Cooperation Agreement</w:t>
      </w:r>
      <w:r>
        <w:rPr>
          <w:rFonts w:ascii="Times New Roman" w:cs="Times New Roman" w:eastAsia="Times New Roman" w:hAnsi="Times New Roman"/>
          <w:sz w:val="18"/>
          <w:szCs w:val="18"/>
          <w:color w:val="auto"/>
        </w:rPr>
        <w:t>”); the Exclusive Option Agreement entered into among the Pledgee, the Pledgor and Party C on [February 27], 2025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the Loan Agreement entered into between the Pledgee and the Pledgor on [February 27], 2025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the Power of Attorney executed by the Pledgor in favor of the Pledgee on [February 27], 2025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and any amendments, supplements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71" w:name="page572"/>
    <w:bookmarkEnd w:id="571"/>
    <w:p>
      <w:pPr>
        <w:ind w:left="1292"/>
        <w:spacing w:after="0"/>
        <w:rPr>
          <w:sz w:val="20"/>
          <w:szCs w:val="20"/>
          <w:color w:val="auto"/>
        </w:rPr>
      </w:pPr>
      <w:r>
        <w:rPr>
          <w:rFonts w:ascii="Times New Roman" w:cs="Times New Roman" w:eastAsia="Times New Roman" w:hAnsi="Times New Roman"/>
          <w:sz w:val="18"/>
          <w:szCs w:val="18"/>
          <w:color w:val="auto"/>
        </w:rPr>
        <w:t>restatements to the foregoing documents.</w:t>
      </w:r>
    </w:p>
    <w:p>
      <w:pPr>
        <w:spacing w:after="0" w:line="225" w:lineRule="exact"/>
        <w:rPr>
          <w:sz w:val="20"/>
          <w:szCs w:val="20"/>
          <w:color w:val="auto"/>
        </w:rPr>
      </w:pPr>
    </w:p>
    <w:p>
      <w:pPr>
        <w:jc w:val="both"/>
        <w:ind w:left="1292"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“Contractual Obligations” means all obligations of the Pledgor under the Exclusive Option Agreement, the Loan Agreement, the Power of Attorney and this Agreement, and all obligations of Party C under the Exclusive Business Cooperation Agreement, the Exclusive Option Agreement and this Agreement.</w:t>
      </w:r>
    </w:p>
    <w:p>
      <w:pPr>
        <w:spacing w:after="0" w:line="176" w:lineRule="exact"/>
        <w:rPr>
          <w:sz w:val="20"/>
          <w:szCs w:val="20"/>
          <w:color w:val="auto"/>
        </w:rPr>
      </w:pPr>
    </w:p>
    <w:p>
      <w:pPr>
        <w:jc w:val="both"/>
        <w:ind w:left="1292" w:hanging="647"/>
        <w:spacing w:after="0" w:line="256" w:lineRule="auto"/>
        <w:tabs>
          <w:tab w:leader="none" w:pos="1271"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“Secured Obligations” means all direct, indirect and consequential losses suffered by the Pledgee arising from any Event of Default of the Pledgor and/or Party C, including any reasonably anticipated loss of profits, the calculation of which shall be based on, including but not limited to, the Pledgee’s reasonable business plan and profit forecast, the service fees payable by Party C under the Exclusive Business Cooperation Agreement, and all expenses incurred by the Pledgee in enforcing the Contractual Obligations of the Pledgor and/or Party C. The amount of the Secured Obligations under this Agreement shall not be less than RMB 50,000,000.</w:t>
      </w:r>
    </w:p>
    <w:p>
      <w:pPr>
        <w:spacing w:after="0" w:line="187"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“Event of Default” means any of the circumstances set forth in Section 7 of this Agreement.</w:t>
      </w:r>
    </w:p>
    <w:p>
      <w:pPr>
        <w:spacing w:after="0" w:line="225" w:lineRule="exact"/>
        <w:rPr>
          <w:sz w:val="20"/>
          <w:szCs w:val="20"/>
          <w:color w:val="auto"/>
        </w:rPr>
      </w:pPr>
    </w:p>
    <w:p>
      <w:pPr>
        <w:jc w:val="both"/>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“Default Notice” means the notice issued by the Pledgee in accordance with this Agreement declaring an Event of Default.</w:t>
      </w:r>
    </w:p>
    <w:p>
      <w:pPr>
        <w:spacing w:after="0" w:line="158" w:lineRule="exact"/>
        <w:rPr>
          <w:sz w:val="20"/>
          <w:szCs w:val="20"/>
          <w:color w:val="auto"/>
        </w:rPr>
      </w:pPr>
    </w:p>
    <w:p>
      <w:pPr>
        <w:ind w:left="652" w:hanging="652"/>
        <w:spacing w:after="0"/>
        <w:tabs>
          <w:tab w:leader="none" w:pos="652"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2.1The Pledgor hereby agrees to pledge the Pledged Equity to the Pledgee in accordance with the provisions of this Agreement as security for the performance of the Contractual Obligations and the repayment of the Secured Obligations. Party C hereby agrees to the Pledgor pledging the Pledged Equity to the Pledgee in accordance with the provisions of this Agreement.</w:t>
      </w:r>
    </w:p>
    <w:p>
      <w:pPr>
        <w:spacing w:after="0" w:line="179" w:lineRule="exact"/>
        <w:rPr>
          <w:rFonts w:ascii="Times New Roman" w:cs="Times New Roman" w:eastAsia="Times New Roman" w:hAnsi="Times New Roman"/>
          <w:sz w:val="18"/>
          <w:szCs w:val="18"/>
          <w:b w:val="1"/>
          <w:bCs w:val="1"/>
          <w:color w:val="auto"/>
        </w:rPr>
      </w:pPr>
    </w:p>
    <w:p>
      <w:pPr>
        <w:ind w:left="1292" w:hanging="648"/>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During the Pledge Term, the Pledgee shall have the right to receive dividends or distributions generated from the Pledged Equity. The Pledgor may receive dividends or distributions in respect of the Pledged Equity only with the prior written consent of the Pledgee. Any dividends or distributions received by the Pledgor in connection with the Pledged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72" w:name="page573"/>
    <w:bookmarkEnd w:id="572"/>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Equity, after deduction of applicable individual income tax paid by the Pledgor, shall, at the request of the Pledgee, either: (1) be deposited into an account designated by the Pledgee and be subject to the supervision of the Pledgee and used as security for the performance of the Contractual Obligations and for priority repayment of the Secured Obligations; or (2) to the extent permitted under PRC laws, be unconditionally gifted to the Pledgee or any Person designated by the Pledgee.</w:t>
      </w:r>
    </w:p>
    <w:p>
      <w:pPr>
        <w:spacing w:after="0" w:line="183" w:lineRule="exact"/>
        <w:rPr>
          <w:sz w:val="20"/>
          <w:szCs w:val="20"/>
          <w:color w:val="auto"/>
        </w:rPr>
      </w:pPr>
    </w:p>
    <w:p>
      <w:pPr>
        <w:jc w:val="both"/>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Pledgor may increase the registered capital of Party C only with the prior written consent of the Pledgee. Any additional capital contribution made by the Pledgor to Party C shall form part of the Pledged Equity.</w:t>
      </w:r>
    </w:p>
    <w:p>
      <w:pPr>
        <w:spacing w:after="0" w:line="162" w:lineRule="exact"/>
        <w:rPr>
          <w:sz w:val="20"/>
          <w:szCs w:val="20"/>
          <w:color w:val="auto"/>
        </w:rPr>
      </w:pPr>
    </w:p>
    <w:p>
      <w:pPr>
        <w:jc w:val="both"/>
        <w:ind w:left="1292" w:hanging="647"/>
        <w:spacing w:after="0" w:line="256" w:lineRule="auto"/>
        <w:tabs>
          <w:tab w:leader="none" w:pos="1271"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 the event that Party C is required to be dissolved or liquidated pursuant to mandatory provisions of PRC laws, any distribution received by the Pledgor from Party C upon completion of the lawful dissolution or liquidation of Party C shall, at the request of the Pledgee: (1) be deposited into an account designated by the Pledgee, subject to the supervision of the Pledgee, and used as security for the performance of the Contractual Obligations and for priority repayment of the Secured Obligations; or (2) to the extent permitted under PRC laws, be unconditionally gifted to the Pledgee or any Person designated by the Pledgee.</w:t>
      </w:r>
    </w:p>
    <w:p>
      <w:pPr>
        <w:spacing w:after="0" w:line="183" w:lineRule="exact"/>
        <w:rPr>
          <w:sz w:val="20"/>
          <w:szCs w:val="20"/>
          <w:color w:val="auto"/>
        </w:rPr>
      </w:pPr>
    </w:p>
    <w:p>
      <w:pPr>
        <w:ind w:left="652" w:hanging="652"/>
        <w:spacing w:after="0"/>
        <w:tabs>
          <w:tab w:leader="none" w:pos="652"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Term</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Pledge shall become effective on the date when the pledge of the Pledged Equity under this Agreement is duly registered with the competent administration for market regulation, and shall remain effective until all Contractual Obligations have been fully performed and all Secured Obligations have been fully satisfied. The Pledgor and Party C shall: (1) within three (3) business days after the execution of this Agreement, register the Pledge in Party C’s register of shareholders; and (2) within [30] business days after the execution of this Agreement, apply for registration of the Pledge under this Agreement with the competent authority for business registration. The Parties hereby confirm that, for the purpose of completing the registration of the equity pledge, the Parties and the other shareholders of Party C shall submit this Agreement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73" w:name="page574"/>
    <w:bookmarkEnd w:id="573"/>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equity pledge agreement reflecting the pledge information under this Agreement in such form as required by the competent authority for business registration at the place where Party C is registered (“Registered Pledge Agreement”). Any matters not specified in the Registered Pledge Agreement shall be governed by this Agreement. The Pledgor and Party C shall, in accordance with the PRC laws and the requirements of the competent authority for business registration, submit all necessary documents and complete all necessary procedures to ensure that the Pledge is duly registered as soon as practicable after submission of the application.</w:t>
      </w:r>
    </w:p>
    <w:p>
      <w:pPr>
        <w:spacing w:after="0" w:line="187" w:lineRule="exact"/>
        <w:rPr>
          <w:sz w:val="20"/>
          <w:szCs w:val="20"/>
          <w:color w:val="auto"/>
        </w:rPr>
      </w:pPr>
    </w:p>
    <w:p>
      <w:pPr>
        <w:jc w:val="both"/>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the Pledge Term, if the Pledgor and/or Party C fails to perform the Contractual Obligations or repay the Secured Obligations, the Pledgee shall have the right, but not the obligation, to exercise the Pledge in accordance with this Agreement.</w:t>
      </w:r>
    </w:p>
    <w:p>
      <w:pPr>
        <w:spacing w:after="0" w:line="172" w:lineRule="exact"/>
        <w:rPr>
          <w:sz w:val="20"/>
          <w:szCs w:val="20"/>
          <w:color w:val="auto"/>
        </w:rPr>
      </w:pPr>
    </w:p>
    <w:p>
      <w:pPr>
        <w:ind w:left="660" w:hanging="652"/>
        <w:spacing w:after="0"/>
        <w:tabs>
          <w:tab w:leader="none" w:pos="66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Custody of Certificates Evidencing the Pledge</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4.1During the Pledge Term as stipulated under this Agreement, the Pledgor shall deliver to the Pledgee for custody the capital contribution certificate evidencing its equity interest in Party C and the register of shareholders reflecting the record of the Pledge. The Pledgor shall deliver the aforesaid capital contribution certificate and register of shareholders to the Pledgee within one (1) week after the execution of this Agreement. The Pledgee shall retain custody of such documents throughout the entire Pledge Term as provided under this Agreement.</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Pledgor and Party C</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Pledgor and Party C hereby jointly and severally represent and warrant to Party A as of the date of execution of this Agreement as follows: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The Pledgor is the sole legal and beneficial owner of the Pledged Equity.</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5.2The Pledgee shall have the right to dispose of and transfer the Pledged Equity in accordance with the provisions of this Agreement.</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5.3Other than the Pledge created under this Agreement, the Pledgor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74" w:name="page575"/>
    <w:bookmarkEnd w:id="574"/>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created any other pledge or other Security Interest over the Pledged Equity. There are no lawsuits, arbitrations, or administrative proceedings pending or, to the knowledge of the Pledgor, threatened against the Pledgor or the Pledged Equity.</w:t>
      </w:r>
    </w:p>
    <w:p>
      <w:pPr>
        <w:spacing w:after="0" w:line="176" w:lineRule="exact"/>
        <w:rPr>
          <w:sz w:val="20"/>
          <w:szCs w:val="20"/>
          <w:color w:val="auto"/>
        </w:rPr>
      </w:pPr>
    </w:p>
    <w:p>
      <w:pPr>
        <w:jc w:val="both"/>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Pledgor and Party C have obtained all necessary consents and approvals from third parties and governmental authorities (if required) for the execution, delivery and performance of this Agreement.</w:t>
      </w:r>
    </w:p>
    <w:p>
      <w:pPr>
        <w:spacing w:after="0" w:line="162" w:lineRule="exact"/>
        <w:rPr>
          <w:sz w:val="20"/>
          <w:szCs w:val="20"/>
          <w:color w:val="auto"/>
        </w:rPr>
      </w:pPr>
    </w:p>
    <w:p>
      <w:pPr>
        <w:jc w:val="both"/>
        <w:ind w:left="1292"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All documents delivered by the Pledgor to the Pledgee in connection with this Agreement are true, complete, and accurate in all material respects, and do not omit any information that would render any statement therein incorrect or misleading in any respect.</w:t>
      </w:r>
    </w:p>
    <w:p>
      <w:pPr>
        <w:spacing w:after="0" w:line="176" w:lineRule="exact"/>
        <w:rPr>
          <w:sz w:val="20"/>
          <w:szCs w:val="20"/>
          <w:color w:val="auto"/>
        </w:rPr>
      </w:pPr>
    </w:p>
    <w:p>
      <w:pPr>
        <w:jc w:val="both"/>
        <w:ind w:left="1292" w:hanging="647"/>
        <w:spacing w:after="0" w:line="256" w:lineRule="auto"/>
        <w:tabs>
          <w:tab w:leader="none" w:pos="1271"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The execution, delivery and performance of this Agreement shall not: (i) result in any violation of applicable PRC laws; (ii) conflict with the articles of association or other organizational documents of Party C; (iii) result in a breach of, or constitute a default under, any contract or instrument to which the Pledgor or Party C is a party or by which it is bound; (iv) result in a breach of any condition applicable to the grant or continued effectiveness of any license or approval issued to any Party; or (v) result in the suspension, revocation or imposition of additional conditions on any license or approval issued to any Party.</w:t>
      </w:r>
    </w:p>
    <w:p>
      <w:pPr>
        <w:spacing w:after="0" w:line="183" w:lineRule="exact"/>
        <w:rPr>
          <w:sz w:val="20"/>
          <w:szCs w:val="20"/>
          <w:color w:val="auto"/>
        </w:rPr>
      </w:pPr>
    </w:p>
    <w:p>
      <w:pPr>
        <w:ind w:left="652" w:hanging="652"/>
        <w:spacing w:after="0"/>
        <w:tabs>
          <w:tab w:leader="none" w:pos="652"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Pledgor and Party C</w:t>
      </w:r>
    </w:p>
    <w:p>
      <w:pPr>
        <w:spacing w:after="0" w:line="229"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During the term of this Agreement, the Pledgor and Party C hereby jointly and severally covenant to the Pledgee as follows:</w:t>
      </w:r>
    </w:p>
    <w:p>
      <w:pPr>
        <w:spacing w:after="0" w:line="162" w:lineRule="exact"/>
        <w:rPr>
          <w:sz w:val="20"/>
          <w:szCs w:val="20"/>
          <w:color w:val="auto"/>
        </w:rPr>
      </w:pPr>
    </w:p>
    <w:p>
      <w:pPr>
        <w:jc w:val="both"/>
        <w:ind w:left="1952" w:hanging="647"/>
        <w:spacing w:after="0" w:line="266" w:lineRule="auto"/>
        <w:tabs>
          <w:tab w:leader="none" w:pos="1931" w:val="left"/>
        </w:tabs>
        <w:rPr>
          <w:sz w:val="20"/>
          <w:szCs w:val="20"/>
          <w:color w:val="auto"/>
        </w:rPr>
      </w:pPr>
      <w:r>
        <w:rPr>
          <w:rFonts w:ascii="Times New Roman" w:cs="Times New Roman" w:eastAsia="Times New Roman" w:hAnsi="Times New Roman"/>
          <w:sz w:val="18"/>
          <w:szCs w:val="18"/>
          <w:color w:val="auto"/>
        </w:rPr>
        <w:t>6.1.1.</w:t>
        <w:tab/>
        <w:t>Except as required for the performance of the Transaction Documents, without the prior written consent of the Pledgee, the Pledgor shall not transfer the Pledged Equity or any part thereof, nor create or permit the creation of any Security Interest or other Encumbrance over the Pledged Equity.</w:t>
      </w:r>
    </w:p>
    <w:p>
      <w:pPr>
        <w:spacing w:after="0" w:line="176" w:lineRule="exact"/>
        <w:rPr>
          <w:sz w:val="20"/>
          <w:szCs w:val="20"/>
          <w:color w:val="auto"/>
        </w:rPr>
      </w:pPr>
    </w:p>
    <w:p>
      <w:pPr>
        <w:jc w:val="both"/>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6.1.2.</w:t>
        <w:tab/>
        <w:t>The Pledgor and Party C shall comply with all applicable laws and regulations relating to pledges of rights. Upon receipt of any notice, order or recommendation from any competent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75" w:name="page576"/>
    <w:bookmarkEnd w:id="575"/>
    <w:p>
      <w:pPr>
        <w:jc w:val="both"/>
        <w:ind w:left="1500"/>
        <w:spacing w:after="0" w:line="261" w:lineRule="auto"/>
        <w:rPr>
          <w:sz w:val="20"/>
          <w:szCs w:val="20"/>
          <w:color w:val="auto"/>
        </w:rPr>
      </w:pPr>
      <w:r>
        <w:rPr>
          <w:rFonts w:ascii="Times New Roman" w:cs="Times New Roman" w:eastAsia="Times New Roman" w:hAnsi="Times New Roman"/>
          <w:sz w:val="18"/>
          <w:szCs w:val="18"/>
          <w:color w:val="auto"/>
        </w:rPr>
        <w:t>relating to the Pledge, the Pledgor and Party C shall promptly present such notice, order or recommendation to the Pledgee within five (5) days and shall comply with such notice, order or recommendation, or raise objections and representations with respect thereto upon the reasonable request of, or with the consent of, the Pledgee.</w:t>
      </w:r>
    </w:p>
    <w:p>
      <w:pPr>
        <w:spacing w:after="0" w:line="180" w:lineRule="exact"/>
        <w:rPr>
          <w:sz w:val="20"/>
          <w:szCs w:val="20"/>
          <w:color w:val="auto"/>
        </w:rPr>
      </w:pPr>
    </w:p>
    <w:p>
      <w:pPr>
        <w:jc w:val="both"/>
        <w:ind w:left="1500" w:right="20" w:hanging="647"/>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6.1.3.</w:t>
        <w:tab/>
        <w:t>The Pledgor and Party C shall promptly notify the Pledgee of any event or notice received that may affect the Pledgor’s rights in the Pledged Equity or any part thereof, or may affect any of the representations, obligations or undertakings of the Pledgor under this Agreement, or may affect the Pledgor’s performance of its obligations under this Agreement.</w:t>
      </w:r>
    </w:p>
    <w:p>
      <w:pPr>
        <w:spacing w:after="0" w:line="180" w:lineRule="exact"/>
        <w:rPr>
          <w:sz w:val="20"/>
          <w:szCs w:val="20"/>
          <w:color w:val="auto"/>
        </w:rPr>
      </w:pPr>
    </w:p>
    <w:p>
      <w:pPr>
        <w:jc w:val="center"/>
        <w:ind w:left="2260" w:right="20"/>
        <w:spacing w:after="0" w:line="282" w:lineRule="auto"/>
        <w:rPr>
          <w:sz w:val="20"/>
          <w:szCs w:val="20"/>
          <w:color w:val="auto"/>
        </w:rPr>
      </w:pPr>
      <w:r>
        <w:rPr>
          <w:rFonts w:ascii="Times New Roman" w:cs="Times New Roman" w:eastAsia="Times New Roman" w:hAnsi="Times New Roman"/>
          <w:sz w:val="18"/>
          <w:szCs w:val="18"/>
          <w:color w:val="auto"/>
        </w:rPr>
        <w:t>6.1.4.   Party C shall, no later than three (3) months prior to the expiration of its business term, complete the procedures for extension of its business term so as to ensure the continued validity of this Agreement.</w:t>
      </w:r>
    </w:p>
    <w:p>
      <w:pPr>
        <w:spacing w:after="0" w:line="162" w:lineRule="exact"/>
        <w:rPr>
          <w:sz w:val="20"/>
          <w:szCs w:val="20"/>
          <w:color w:val="auto"/>
        </w:rPr>
      </w:pPr>
    </w:p>
    <w:p>
      <w:pPr>
        <w:jc w:val="both"/>
        <w:ind w:left="150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6.1.5.</w:t>
        <w:tab/>
        <w:t>Without the prior written consent of the Pledgee, the Pledgor shall not amend or otherwise modify the articles of association of Party C, nor take any action that may adversely affect the Pledgee’s rights with respect to the Pledged Equity or any of its rights under this Agreement.</w:t>
      </w:r>
    </w:p>
    <w:p>
      <w:pPr>
        <w:spacing w:after="0" w:line="176"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Pledgor agrees that the rights of the Pledgee with respect to the Pledge obtained pursuant to this Agreement shall not be interrupted or impaired by the Pledgor, the Pledgor’s heirs, the Pledgor’s authorized representatives or any other Person through any legal proceedings.</w:t>
      </w:r>
    </w:p>
    <w:p>
      <w:pPr>
        <w:spacing w:after="0" w:line="176" w:lineRule="exact"/>
        <w:rPr>
          <w:sz w:val="20"/>
          <w:szCs w:val="20"/>
          <w:color w:val="auto"/>
        </w:rPr>
      </w:pPr>
    </w:p>
    <w:p>
      <w:pPr>
        <w:jc w:val="both"/>
        <w:ind w:left="840" w:hanging="647"/>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Pledgor hereby undertakes to the Pledgee that, in order to protect or perfect the security created under this Agreement for the Contractual Obligations and the Secured Obligations, the Pledgor shall faithfully execute, and procure other interested parties to execute, all certificates of rights, deeds and/or take, and procure other interested parties to take, all actions as reasonably required by the Pledgee. The Pledgor shall facilitate the exercise of the rights and powers granted to the Pledgee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576" w:name="page577"/>
    <w:bookmarkEnd w:id="576"/>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Agreement, execute all documents relating to the ownership of the Pledged Equity with the Pledgee or any Person designated by the Pledgee (whether a natural person or legal entity), and provide to the Pledgee, within a reasonable period, all notices, orders and decisions relating to the Pledge as the Pledgee may reasonably deem necessary.</w:t>
      </w:r>
    </w:p>
    <w:p>
      <w:pPr>
        <w:spacing w:after="0" w:line="176" w:lineRule="exact"/>
        <w:rPr>
          <w:sz w:val="20"/>
          <w:szCs w:val="20"/>
          <w:color w:val="auto"/>
        </w:rPr>
      </w:pPr>
    </w:p>
    <w:p>
      <w:pPr>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Pledgor hereby undertakes to the Pledgee that it shall comply with and perform all representations, warranties, covenants, agreements and conditions under this Agreement.</w:t>
      </w:r>
    </w:p>
    <w:p>
      <w:pPr>
        <w:spacing w:after="0" w:line="158" w:lineRule="exact"/>
        <w:rPr>
          <w:sz w:val="20"/>
          <w:szCs w:val="20"/>
          <w:color w:val="auto"/>
        </w:rPr>
      </w:pPr>
    </w:p>
    <w:p>
      <w:pPr>
        <w:ind w:left="652" w:hanging="652"/>
        <w:spacing w:after="0"/>
        <w:tabs>
          <w:tab w:leader="none" w:pos="652"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7.1Each of the following events shall constitute an Event of Default:</w:t>
      </w:r>
    </w:p>
    <w:p>
      <w:pPr>
        <w:spacing w:after="0" w:line="225" w:lineRule="exact"/>
        <w:rPr>
          <w:rFonts w:ascii="Times New Roman" w:cs="Times New Roman" w:eastAsia="Times New Roman" w:hAnsi="Times New Roman"/>
          <w:sz w:val="18"/>
          <w:szCs w:val="18"/>
          <w:b w:val="1"/>
          <w:bCs w:val="1"/>
          <w:color w:val="auto"/>
        </w:rPr>
      </w:pPr>
    </w:p>
    <w:p>
      <w:pPr>
        <w:ind w:left="12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7.1.1.   Any breach by the Pledgor of any obligation under any Transaction Document and/or this Agreement;</w:t>
      </w:r>
    </w:p>
    <w:p>
      <w:pPr>
        <w:spacing w:after="0" w:line="225" w:lineRule="exact"/>
        <w:rPr>
          <w:rFonts w:ascii="Times New Roman" w:cs="Times New Roman" w:eastAsia="Times New Roman" w:hAnsi="Times New Roman"/>
          <w:sz w:val="18"/>
          <w:szCs w:val="18"/>
          <w:b w:val="1"/>
          <w:bCs w:val="1"/>
          <w:color w:val="auto"/>
        </w:rPr>
      </w:pPr>
    </w:p>
    <w:p>
      <w:pPr>
        <w:ind w:left="12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7.1.2.   Any breach by Party C of any obligation under any Transaction Document and/or this Agreement.</w:t>
      </w:r>
    </w:p>
    <w:p>
      <w:pPr>
        <w:spacing w:after="0" w:line="225"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7.2If the Pledgor or Party C becomes aware of or discovers that any event described in Section 7.1 has occurred or may occur, the Pledgor and Party C shall immediately notify the Pledgee in writing.</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7.3Unless any Event of Default under Section 7.1 has been remedied to the satisfaction of the Pledgee within twenty (20) days after the Pledgee has issued a notice requiring remedy of such breach to the Pledgor and/or Party C, the Pledgee may, at any time thereafter, subject to Section 8.1, issue a written Default Notice to the Pledgor and require the exercise of the Pledge in accordance with Section 8.</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the Pledge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8.1Notwithstanding any provision to the contrary in this Agreement, any Transaction Document or any other agreement entered into among the Pledgee, the Pledgor and/or Party C, the Pledgee shall not enforce the Pledge under this Agreement unless the Pledgee simultaneously enforces all pledges or other Security Interests granted to the Pledgee by the other shareholders of Party C over the equity interests held by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77" w:name="page578"/>
    <w:bookmarkEnd w:id="577"/>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shareholders in Party C pursuant to other equity pledge agreements; provided, however, that where the Pledgor breaches any obligation under any Transaction Document and/or this Agreement, the Pledgee’s exercise of the Pledge shall not be subject to the limitation under this Section 8.1.</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When exercising the Pledge, the Pledgee shall issue a written Default Notice to the Pledgor.</w:t>
      </w:r>
    </w:p>
    <w:p>
      <w:pPr>
        <w:spacing w:after="0" w:line="225"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Subject to Sections 7.3 and 8.1, the Pledgee may, at any time after issuing the Default Notice in accordance with Section 8.2, exercise the right to dispose of the Pledge. Upon the Pledgee’s decision to exercise its right to dispose of the Pledge, the Pledgor shall no longer have any rights or interests with respect to the Pledged Equity.</w:t>
      </w:r>
    </w:p>
    <w:p>
      <w:pPr>
        <w:spacing w:after="0" w:line="176" w:lineRule="exact"/>
        <w:rPr>
          <w:sz w:val="20"/>
          <w:szCs w:val="20"/>
          <w:color w:val="auto"/>
        </w:rPr>
      </w:pPr>
    </w:p>
    <w:p>
      <w:pPr>
        <w:jc w:val="both"/>
        <w:ind w:left="840" w:right="20" w:hanging="647"/>
        <w:spacing w:after="0" w:line="281" w:lineRule="auto"/>
        <w:tabs>
          <w:tab w:leader="none" w:pos="8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After issuing the Default Notice in accordance with Section 8.2, the Pledgee shall have the right to exercise all remedies available to it under PRC laws, the Transaction Documents and this Agreement, including, without limitation, obtaining priority repayment from the proceeds derived from conversion into value, auction or sale of the Pledged Equity. The Pledgee shall not be liable for any loss arising from its reasonable exercise of such rights and powers.</w:t>
      </w:r>
    </w:p>
    <w:p>
      <w:pPr>
        <w:spacing w:after="0" w:line="164" w:lineRule="exact"/>
        <w:rPr>
          <w:sz w:val="20"/>
          <w:szCs w:val="20"/>
          <w:color w:val="auto"/>
        </w:rPr>
      </w:pPr>
    </w:p>
    <w:p>
      <w:pPr>
        <w:jc w:val="both"/>
        <w:ind w:left="840" w:hanging="647"/>
        <w:spacing w:after="0" w:line="255" w:lineRule="auto"/>
        <w:tabs>
          <w:tab w:leader="none" w:pos="8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Any proceeds obtained by the Pledgee from the enforcement of the Pledge shall first be used to pay any taxes and expenses payable as a result of the disposal of the Pledged Equity and to perform the Contractual Obligations and repay the Secured Obligations owed to the Pledgee. Any remaining balance after deduction of the foregoing amounts shall be returned to the Pledgor or any other Person entitled thereto under applicable laws and regulations, or deposited with a notary office at the place where the Pledgor is located (any expenses arising therefrom shall be borne by the Pledgor). To the extent permitted under PRC laws, the Pledgor shall unconditionally gift such remaining balance to the Pledgee or any Person designated by the Pledgee.</w:t>
      </w:r>
    </w:p>
    <w:p>
      <w:pPr>
        <w:spacing w:after="0" w:line="189" w:lineRule="exact"/>
        <w:rPr>
          <w:sz w:val="20"/>
          <w:szCs w:val="20"/>
          <w:color w:val="auto"/>
        </w:rPr>
      </w:pPr>
    </w:p>
    <w:p>
      <w:pPr>
        <w:jc w:val="both"/>
        <w:ind w:left="840" w:right="2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Subject to Section 8.1, the Pledgee shall have the right to exercise any of its remedies for breach either simultaneously or sequentially. The Pledgee shall not be required to first exercise any other remedy before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578" w:name="page579"/>
    <w:bookmarkEnd w:id="578"/>
    <w:p>
      <w:pPr>
        <w:ind w:left="1292"/>
        <w:spacing w:after="0" w:line="282" w:lineRule="auto"/>
        <w:rPr>
          <w:sz w:val="20"/>
          <w:szCs w:val="20"/>
          <w:color w:val="auto"/>
        </w:rPr>
      </w:pPr>
      <w:r>
        <w:rPr>
          <w:rFonts w:ascii="Times New Roman" w:cs="Times New Roman" w:eastAsia="Times New Roman" w:hAnsi="Times New Roman"/>
          <w:sz w:val="18"/>
          <w:szCs w:val="18"/>
          <w:color w:val="auto"/>
        </w:rPr>
        <w:t>its right to priority repayment from the proceeds derived from conversion into value, auction or sale of the Pledged Equity under this Agreement.</w:t>
      </w:r>
    </w:p>
    <w:p>
      <w:pPr>
        <w:spacing w:after="0" w:line="162"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Pledgee shall have the right to designate its attorneys or other agents in writing to exercise the Pledge on its behalf, and the Pledgor and Party C shall raise no objection thereto.</w:t>
      </w:r>
    </w:p>
    <w:p>
      <w:pPr>
        <w:spacing w:after="0" w:line="162"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When disposing of the Pledge in accordance with this Agreement, the Pledgor and Party C shall provide all necessary assistance to enable the Pledgee to realize its rights under the Pledge.</w:t>
      </w:r>
    </w:p>
    <w:p>
      <w:pPr>
        <w:spacing w:after="0" w:line="158" w:lineRule="exact"/>
        <w:rPr>
          <w:sz w:val="20"/>
          <w:szCs w:val="20"/>
          <w:color w:val="auto"/>
        </w:rPr>
      </w:pPr>
    </w:p>
    <w:p>
      <w:pPr>
        <w:ind w:left="652" w:hanging="652"/>
        <w:spacing w:after="0"/>
        <w:tabs>
          <w:tab w:leader="none" w:pos="652"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9.1Subject to Section 9.3, if the Pledgor or Party C materially breaches any provision of this Agreement, the Pledgee shall have the right to terminate this Agreement and/or require the breaching party to compensate for damages. Subject to Section 9.3, this Section 9 shall not prejudice any other rights of the Pledgee under this Agreement.</w:t>
      </w:r>
    </w:p>
    <w:p>
      <w:pPr>
        <w:spacing w:after="0" w:line="175"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9.2Except as otherwise required by applicable laws, the Pledgor or Party C shall not have any right to terminate or rescind this Agreement under any circumstances.</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9.3If the Pledgor breaches any representation, warranty, covenant, agreement, or condition under this Agreement or any other Transaction Document, the Pledgee shall have the right to exercise the Pledge over the equity in Party C held by the Pledgor in accordance with Article 8 of this Agreement.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Without the prior written consent of the Pledgee, the Pledgor and Party C shall not assign or transfer any of their rights or obligations under this Agreement by way of gift or otherwise.</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This Agreement shall be binding upon the Pledgor and its successors and permitted assigns, and shall inure to the benefit of the Pledgee and each of its successors and assigns.</w:t>
      </w:r>
    </w:p>
    <w:p>
      <w:pPr>
        <w:spacing w:after="0" w:line="16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The Pledgee may, at any time, assign all or any of its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79" w:name="page580"/>
    <w:bookmarkEnd w:id="579"/>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obligations under the Transaction Documents and this Agreement to any Person designated by it, in which case the assignee shall enjoy and assume the rights and obligations of the Pledgee under the Transaction Documents and this Agreement as if it were an original party hereto.</w:t>
      </w:r>
    </w:p>
    <w:p>
      <w:pPr>
        <w:spacing w:after="0" w:line="176" w:lineRule="exact"/>
        <w:rPr>
          <w:sz w:val="20"/>
          <w:szCs w:val="20"/>
          <w:color w:val="auto"/>
        </w:rPr>
      </w:pPr>
    </w:p>
    <w:p>
      <w:pPr>
        <w:jc w:val="both"/>
        <w:ind w:left="1292" w:right="20"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any change of the Pledgee resulting from an assignment, the Pledgor and/or Party C shall, at the request of the Pledgee, enter into a new equity pledge agreement with the new pledgee on terms substantially identical to those of this Agreement and complete the relevant registration with the competent authority for business registration.</w:t>
      </w:r>
    </w:p>
    <w:p>
      <w:pPr>
        <w:spacing w:after="0" w:line="176" w:lineRule="exact"/>
        <w:rPr>
          <w:sz w:val="20"/>
          <w:szCs w:val="20"/>
          <w:color w:val="auto"/>
        </w:rPr>
      </w:pPr>
    </w:p>
    <w:p>
      <w:pPr>
        <w:jc w:val="both"/>
        <w:ind w:left="1292" w:hanging="647"/>
        <w:spacing w:after="0" w:line="258" w:lineRule="auto"/>
        <w:tabs>
          <w:tab w:leader="none" w:pos="1271"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The Pledgor and Party C shall strictly comply with the provisions of this Agreement and other agreements entered into individually or jointly by the Parties, including the Transaction Documents, perform their obligations under the Transaction Documents, and shall not take or omit to take any action that may affect the validity or enforceability of such agreements. Unless otherwise instructed in writing by the Pledgee, the Pledgor shall not exercise any rights remaining in the Pledged Equity.</w:t>
      </w:r>
    </w:p>
    <w:p>
      <w:pPr>
        <w:spacing w:after="0" w:line="179" w:lineRule="exact"/>
        <w:rPr>
          <w:sz w:val="20"/>
          <w:szCs w:val="20"/>
          <w:color w:val="auto"/>
        </w:rPr>
      </w:pPr>
    </w:p>
    <w:p>
      <w:pPr>
        <w:ind w:left="652" w:hanging="652"/>
        <w:spacing w:after="0"/>
        <w:tabs>
          <w:tab w:leader="none" w:pos="652"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11.1After the Pledgor and Party C have fully performed all Contractual Obligations and fully repaid all Secured Obligations, the Pledgee shall, upon the request of the Pledgor, release the Pledge over the Pledged Equity under this Agreement as soon as reasonably practicable and cooperate with the Pledgor in completing the deregistration of the equity pledge recorded in Party C’s register of shareholders and the deregistration of the Pledge with the competent authority for business registration.</w:t>
      </w:r>
    </w:p>
    <w:p>
      <w:pPr>
        <w:spacing w:after="0" w:line="183"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7"/>
          <w:szCs w:val="17"/>
          <w:color w:val="auto"/>
        </w:rPr>
        <w:t>The provisions of Sections 9, 13, 14 and this Section 11.2 shall survive the termination of this Agreement.</w:t>
      </w:r>
    </w:p>
    <w:p>
      <w:pPr>
        <w:spacing w:after="0" w:line="22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Other Expenses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costs and actual expenses incurred in connection with this Agreement, including but not limited to legal fees, production costs, stamp duty and any other taxes and expenses, shall be borne by Party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80" w:name="page581"/>
    <w:bookmarkEnd w:id="580"/>
    <w:p>
      <w:pPr>
        <w:ind w:left="660" w:hanging="652"/>
        <w:spacing w:after="0"/>
        <w:tabs>
          <w:tab w:leader="none" w:pos="66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8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The execution, validity, interpretation, performance, amendment and termination of this Agreement and the resolution of any disputes hereunder shall be governed by the PRC laws.</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Any dispute arising from the interpretation or performance of this Agreement shall first be resolved through friendly consultation among the Parties. If the dispute cannot be resolved within thirty (30) days after one Party delivers a written notice requesting consultation, any Party may submit such dispute to the court of competent jurisdiction at the place of domicile of the plaintiff for litigation.</w:t>
      </w:r>
    </w:p>
    <w:p>
      <w:pPr>
        <w:spacing w:after="0" w:line="179" w:lineRule="exact"/>
        <w:rPr>
          <w:rFonts w:ascii="Times New Roman" w:cs="Times New Roman" w:eastAsia="Times New Roman" w:hAnsi="Times New Roman"/>
          <w:sz w:val="18"/>
          <w:szCs w:val="18"/>
          <w:b w:val="1"/>
          <w:bCs w:val="1"/>
          <w:color w:val="auto"/>
        </w:rPr>
      </w:pPr>
    </w:p>
    <w:p>
      <w:pPr>
        <w:ind w:left="130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14.3 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81" w:name="page582"/>
    <w:bookmarkEnd w:id="581"/>
    <w:p>
      <w:pPr>
        <w:ind w:left="660" w:hanging="652"/>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 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15.2 If delivered by hand, courier service or registered mail (postage prepaid), the date of receipt or rejection at the designated address shall be deemed the effective delivery date.</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15.3 If delivered by facsimile, the date of successful transmission (as evidenced by the automatically generated transmission confirmation) shall be deemed the effective delivery date.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Annexes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annexes attached hereto shall form an integral part of this Agreement.</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This Agreement shall become effective upon execution by all Parties.</w:t>
      </w:r>
    </w:p>
    <w:p>
      <w:pPr>
        <w:spacing w:after="0" w:line="22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18.2 Any amendment, supplement or modification to this Agreement shall be made in writing, signed or sealed by the Parties and registered with the relevant governmental authority (if required) before becoming effective.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 and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82" w:name="page583"/>
    <w:bookmarkEnd w:id="582"/>
    <w:p>
      <w:pPr>
        <w:ind w:left="200"/>
        <w:spacing w:after="0" w:line="282" w:lineRule="auto"/>
        <w:rPr>
          <w:sz w:val="20"/>
          <w:szCs w:val="20"/>
          <w:color w:val="auto"/>
        </w:rPr>
      </w:pPr>
      <w:r>
        <w:rPr>
          <w:rFonts w:ascii="Times New Roman" w:cs="Times New Roman" w:eastAsia="Times New Roman" w:hAnsi="Times New Roman"/>
          <w:sz w:val="18"/>
          <w:szCs w:val="18"/>
          <w:color w:val="auto"/>
        </w:rPr>
        <w:t>This Agreement is executed in four (4) originals. The Pledgee, the Pledgor and Party C shall each hold one original, and the remaining original shall be used for registration purposes. Each original shall have equal legal effect.</w:t>
      </w: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77" w:right="1019" w:bottom="1440" w:gutter="0" w:footer="0" w:header="0"/>
        </w:sectPr>
      </w:pPr>
    </w:p>
    <w:bookmarkStart w:id="583" w:name="page584"/>
    <w:bookmarkEnd w:id="5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Equity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88036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584" w:name="page585"/>
    <w:bookmarkEnd w:id="58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Equity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Xiaosong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 Xiaosong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585" w:name="page586"/>
    <w:bookmarkEnd w:id="58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Equity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8803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4">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color w:val="auto"/>
        </w:rPr>
        <w:t>Annexes: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Register of Shareholders of Party C;</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587" w:name="page588"/>
    <w:bookmarkEnd w:id="587"/>
    <w:p>
      <w:pPr>
        <w:jc w:val="right"/>
        <w:spacing w:after="0"/>
        <w:rPr>
          <w:sz w:val="20"/>
          <w:szCs w:val="20"/>
          <w:color w:val="auto"/>
        </w:rPr>
      </w:pPr>
      <w:r>
        <w:rPr>
          <w:rFonts w:ascii="Times New Roman" w:cs="Times New Roman" w:eastAsia="Times New Roman" w:hAnsi="Times New Roman"/>
          <w:sz w:val="18"/>
          <w:szCs w:val="18"/>
          <w:b w:val="1"/>
          <w:bCs w:val="1"/>
          <w:color w:val="auto"/>
        </w:rPr>
        <w:t>Exhibit 4.44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PLEDGE AGREEMENT</w:t>
      </w:r>
    </w:p>
    <w:p>
      <w:pPr>
        <w:spacing w:after="0" w:line="2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color w:val="auto"/>
        </w:rPr>
        <w:t>This Equity Pledge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[February 27], 2025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 the following parties:</w:t>
      </w:r>
    </w:p>
    <w:p>
      <w:pPr>
        <w:spacing w:after="0" w:line="15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b w:val="1"/>
          <w:bCs w:val="1"/>
          <w:color w:val="auto"/>
        </w:rPr>
        <w:t>Xunlei Computer (Shenzhen) Co.,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 a wholly foreign-owned enterprise duly established and validly existing under the PRC laws, with its address at Room 0610-E12, Port Building, Maritime Center, No. 59 Linhai Avenue, Nanshan Subdistrict, Qianhai Shenzhen-Hongkong Modern Service Industry Cooperation Zone, Shenzhen;</w:t>
      </w:r>
    </w:p>
    <w:p>
      <w:pPr>
        <w:spacing w:after="0" w:line="171" w:lineRule="exact"/>
        <w:rPr>
          <w:sz w:val="20"/>
          <w:szCs w:val="20"/>
          <w:color w:val="auto"/>
        </w:rPr>
      </w:pPr>
    </w:p>
    <w:p>
      <w:pPr>
        <w:jc w:val="both"/>
        <w:ind w:left="660" w:right="20" w:hanging="647"/>
        <w:spacing w:after="0" w:line="286" w:lineRule="auto"/>
        <w:rPr>
          <w:sz w:val="20"/>
          <w:szCs w:val="20"/>
          <w:color w:val="auto"/>
        </w:rPr>
      </w:pPr>
      <w:r>
        <w:rPr>
          <w:rFonts w:ascii="Times New Roman" w:cs="Times New Roman" w:eastAsia="Times New Roman" w:hAnsi="Times New Roman"/>
          <w:sz w:val="18"/>
          <w:szCs w:val="18"/>
          <w:color w:val="auto"/>
        </w:rPr>
        <w:t xml:space="preserve">Party B: </w:t>
      </w:r>
      <w:r>
        <w:rPr>
          <w:rFonts w:ascii="Times New Roman" w:cs="Times New Roman" w:eastAsia="Times New Roman" w:hAnsi="Times New Roman"/>
          <w:sz w:val="18"/>
          <w:szCs w:val="18"/>
          <w:b w:val="1"/>
          <w:bCs w:val="1"/>
          <w:color w:val="auto"/>
        </w:rPr>
        <w:t>Wu Kening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a PRC citizen, ID No. ******************, residing at [Room 16G, Block D, Xihai Mingzhu Garden, No. 1 Taoyuan Road, Nanshan District, Shenzhen]; and</w:t>
      </w:r>
    </w:p>
    <w:p>
      <w:pPr>
        <w:spacing w:after="0" w:line="15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 xml:space="preserve">Party C: </w:t>
      </w:r>
      <w:r>
        <w:rPr>
          <w:rFonts w:ascii="Times New Roman" w:cs="Times New Roman" w:eastAsia="Times New Roman" w:hAnsi="Times New Roman"/>
          <w:sz w:val="18"/>
          <w:szCs w:val="18"/>
          <w:b w:val="1"/>
          <w:bCs w:val="1"/>
          <w:color w:val="auto"/>
        </w:rPr>
        <w:t>Shenzhen Zhilue Xinsi Consulting Co., Ltd.</w:t>
      </w:r>
      <w:r>
        <w:rPr>
          <w:rFonts w:ascii="Times New Roman" w:cs="Times New Roman" w:eastAsia="Times New Roman" w:hAnsi="Times New Roman"/>
          <w:sz w:val="18"/>
          <w:szCs w:val="18"/>
          <w:color w:val="auto"/>
        </w:rPr>
        <w:t>, a limited liability company duly established and validly existing under the PRC laws, with its address at Room 7A758, Block AB, New Energy Building, No. 2239 Nanhai Avenue, Nanguang Community, Nanshan Subdistrict, Nanshan District, Shenzhen.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Pledgee, the Pledgor and Party C are hereinafter referred to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right="20" w:hanging="652"/>
        <w:spacing w:after="0" w:line="266" w:lineRule="auto"/>
        <w:tabs>
          <w:tab w:leader="none" w:pos="66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is a limited liability company in the PRC. As of the date of this Agreement, Pledgor holds [60]% of the equity interest in Party C, representing registered capital of RMB [60,000]. Party C agrees to confirm the rights and obligations of the Pledgor and the Pledgee under this Agreement and to provide necessary assistance in registering the equity pledge.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foreign-owned enterprise duly registered in the PRC. The Pledgee has entered into an Exclusive Business Cooperation Agreement (as defined below) with Party C in which the Pledgor holds an equity interest; the Pledgee, the Pledgor and Party C have entered into an Exclusive Option Agreement (as defined below); the Pledgee and the Pledgor have entered into a Loan Agreement (as defined below); and the Pledgor has executed a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88" w:name="page589"/>
    <w:bookmarkEnd w:id="588"/>
    <w:p>
      <w:pPr>
        <w:ind w:left="652"/>
        <w:spacing w:after="0"/>
        <w:rPr>
          <w:sz w:val="20"/>
          <w:szCs w:val="20"/>
          <w:color w:val="auto"/>
        </w:rPr>
      </w:pPr>
      <w:r>
        <w:rPr>
          <w:rFonts w:ascii="Times New Roman" w:cs="Times New Roman" w:eastAsia="Times New Roman" w:hAnsi="Times New Roman"/>
          <w:sz w:val="18"/>
          <w:szCs w:val="18"/>
          <w:color w:val="auto"/>
        </w:rPr>
        <w:t>Attorney in favor of the Pledgee (as defined below).</w:t>
      </w:r>
    </w:p>
    <w:p>
      <w:pPr>
        <w:spacing w:after="0" w:line="225" w:lineRule="exact"/>
        <w:rPr>
          <w:sz w:val="20"/>
          <w:szCs w:val="20"/>
          <w:color w:val="auto"/>
        </w:rPr>
      </w:pPr>
    </w:p>
    <w:p>
      <w:pPr>
        <w:jc w:val="both"/>
        <w:ind w:left="652" w:right="20" w:hanging="652"/>
        <w:spacing w:after="0" w:line="266" w:lineRule="auto"/>
        <w:tabs>
          <w:tab w:leader="none" w:pos="652"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the performance by Party C and the Pledgor of their respective obligations under the Exclusive Business Cooperation Agreement, the Exclusive Option Agreement, the Loan Agreement and the Power of Attorney, the Pledgor agrees to pledge all of its equity interest in Party C in favor of the Pledgee as security for the performance of such obligations.</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 order to perform the provisions of the Transaction Documents, the Parties hereby agree as follows:</w:t>
      </w:r>
    </w:p>
    <w:p>
      <w:pPr>
        <w:spacing w:after="0" w:line="221" w:lineRule="exact"/>
        <w:rPr>
          <w:sz w:val="20"/>
          <w:szCs w:val="20"/>
          <w:color w:val="auto"/>
        </w:rPr>
      </w:pPr>
    </w:p>
    <w:p>
      <w:pPr>
        <w:ind w:left="652" w:hanging="652"/>
        <w:spacing w:after="0"/>
        <w:tabs>
          <w:tab w:leader="none" w:pos="652"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herein, the following terms shall have the meanings set forth below:</w:t>
      </w:r>
    </w:p>
    <w:p>
      <w:pPr>
        <w:spacing w:after="0" w:line="225"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1.1“Pledge” means the security interest granted by the Pledgor to the Pledgee pursuant to Section 2 of this Agreement, pursuant to which the Pledgee shall be entitled to priority in receiving repayment from the proceeds derived from the conversion into value, auction or sale of the Pledged Equity.</w:t>
      </w:r>
    </w:p>
    <w:p>
      <w:pPr>
        <w:spacing w:after="0" w:line="17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7"/>
          <w:szCs w:val="17"/>
          <w:color w:val="auto"/>
        </w:rPr>
        <w:t>“Pledged Equity” means all equity interests in Party C currently held or to be held in the future by the Pledgor.</w:t>
      </w:r>
    </w:p>
    <w:p>
      <w:pPr>
        <w:spacing w:after="0" w:line="22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“Pledge Term” means the period set forth in Section 3 of this Agreement.</w:t>
      </w:r>
    </w:p>
    <w:p>
      <w:pPr>
        <w:spacing w:after="0" w:line="225"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1.4“Transaction Documents” means the Exclusive Business Cooperation Agreement entered into between Party C and the Pledgee on [May 1], 2022 (“</w:t>
      </w:r>
      <w:r>
        <w:rPr>
          <w:rFonts w:ascii="Times New Roman" w:cs="Times New Roman" w:eastAsia="Times New Roman" w:hAnsi="Times New Roman"/>
          <w:sz w:val="18"/>
          <w:szCs w:val="18"/>
          <w:b w:val="1"/>
          <w:bCs w:val="1"/>
          <w:color w:val="auto"/>
        </w:rPr>
        <w:t>Exclusive Business Cooperation Agreement</w:t>
      </w:r>
      <w:r>
        <w:rPr>
          <w:rFonts w:ascii="Times New Roman" w:cs="Times New Roman" w:eastAsia="Times New Roman" w:hAnsi="Times New Roman"/>
          <w:sz w:val="18"/>
          <w:szCs w:val="18"/>
          <w:color w:val="auto"/>
        </w:rPr>
        <w:t>”); the Exclusive Option Agreement entered into among the Pledgee, the Pledgor and Party C on [February 27], 2025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the Loan Agreement entered into between the Pledgee and the Pledgor on [February 27], 2025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the Power of Attorney executed by the Pledgor in favor of the Pledgee on [February 27], 2025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and any amendments, supplements and/or restatements to the foregoing documents.</w:t>
      </w:r>
    </w:p>
    <w:p>
      <w:pPr>
        <w:spacing w:after="0" w:line="18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7"/>
          <w:szCs w:val="17"/>
          <w:color w:val="auto"/>
        </w:rPr>
        <w:t>“Contractual Obligations” means all obligations of the Pledgor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89" w:name="page590"/>
    <w:bookmarkEnd w:id="589"/>
    <w:p>
      <w:pPr>
        <w:ind w:left="1292" w:right="20"/>
        <w:spacing w:after="0" w:line="282" w:lineRule="auto"/>
        <w:rPr>
          <w:sz w:val="20"/>
          <w:szCs w:val="20"/>
          <w:color w:val="auto"/>
        </w:rPr>
      </w:pPr>
      <w:r>
        <w:rPr>
          <w:rFonts w:ascii="Times New Roman" w:cs="Times New Roman" w:eastAsia="Times New Roman" w:hAnsi="Times New Roman"/>
          <w:sz w:val="18"/>
          <w:szCs w:val="18"/>
          <w:color w:val="auto"/>
        </w:rPr>
        <w:t>Exclusive Option Agreement, the Loan Agreement, the Power of Attorney and this Agreement, and all obligations of Party C under the Exclusive Business Cooperation Agreement, the Exclusive Option Agreement and this Agreement.</w:t>
      </w:r>
    </w:p>
    <w:p>
      <w:pPr>
        <w:spacing w:after="0" w:line="162" w:lineRule="exact"/>
        <w:rPr>
          <w:sz w:val="20"/>
          <w:szCs w:val="20"/>
          <w:color w:val="auto"/>
        </w:rPr>
      </w:pPr>
    </w:p>
    <w:p>
      <w:pPr>
        <w:jc w:val="both"/>
        <w:ind w:left="1292" w:hanging="647"/>
        <w:spacing w:after="0" w:line="256" w:lineRule="auto"/>
        <w:tabs>
          <w:tab w:leader="none" w:pos="1271"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“Secured Obligations” means all direct, indirect and consequential losses suffered by the Pledgee arising from any Event of Default of the Pledgor and/or Party C, including any reasonably anticipated loss of profits, the calculation of which shall be based on, including but not limited to, the Pledgee’s reasonable business plan and profit forecast, the service fees payable by Party C under the Exclusive Business Cooperation Agreement, and all expenses incurred by the Pledgee in enforcing the Contractual Obligations of the Pledgor and/or Party C. The amount of the Secured Obligations under this Agreement shall not be less than RMB 50,000,000.</w:t>
      </w:r>
    </w:p>
    <w:p>
      <w:pPr>
        <w:spacing w:after="0" w:line="187"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“Event of Default” means any of the circumstances set forth in Section 7 of this Agreement.</w:t>
      </w:r>
    </w:p>
    <w:p>
      <w:pPr>
        <w:spacing w:after="0" w:line="225" w:lineRule="exact"/>
        <w:rPr>
          <w:sz w:val="20"/>
          <w:szCs w:val="20"/>
          <w:color w:val="auto"/>
        </w:rPr>
      </w:pPr>
    </w:p>
    <w:p>
      <w:pPr>
        <w:jc w:val="both"/>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“Default Notice” means the notice issued by the Pledgee in accordance with this Agreement declaring an Event of Default.</w:t>
      </w:r>
    </w:p>
    <w:p>
      <w:pPr>
        <w:spacing w:after="0" w:line="158" w:lineRule="exact"/>
        <w:rPr>
          <w:sz w:val="20"/>
          <w:szCs w:val="20"/>
          <w:color w:val="auto"/>
        </w:rPr>
      </w:pPr>
    </w:p>
    <w:p>
      <w:pPr>
        <w:ind w:left="652" w:hanging="652"/>
        <w:spacing w:after="0"/>
        <w:tabs>
          <w:tab w:leader="none" w:pos="652"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2.1The Pledgor hereby agrees to pledge the Pledged Equity to the Pledgee in accordance with the provisions of this Agreement as security for the performance of the Contractual Obligations and the repayment of the Secured Obligations. Party C hereby agrees to the Pledgor pledging the Pledged Equity to the Pledgee in accordance with the provisions of this Agreement.</w:t>
      </w:r>
    </w:p>
    <w:p>
      <w:pPr>
        <w:spacing w:after="0" w:line="179"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2.2During the Pledge Term, the Pledgee shall have the right to receive dividends or distributions generated from the Pledged Equity. The Pledgor may receive dividends or distributions in respect of the Pledged Equity only with the prior written consent of the Pledgee. Any dividends or distributions received by the Pledgor in connection with the Pledged Equity, after deduction of applicable individual income tax paid by the Pledgor, shall, at the request of the Pledgee, either: (1) be deposited into an account designated by the Pledgee and be subject to the supervision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0" w:name="page591"/>
    <w:bookmarkEnd w:id="590"/>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the Pledgee and used as security for the performance of the Contractual Obligations and for priority repayment of the Secured Obligations; or (2) to the extent permitted under PRC laws, be unconditionally gifted to the Pledgee or any Person designated by the Pledgee.</w:t>
      </w:r>
    </w:p>
    <w:p>
      <w:pPr>
        <w:spacing w:after="0" w:line="176" w:lineRule="exact"/>
        <w:rPr>
          <w:sz w:val="20"/>
          <w:szCs w:val="20"/>
          <w:color w:val="auto"/>
        </w:rPr>
      </w:pPr>
    </w:p>
    <w:p>
      <w:pPr>
        <w:jc w:val="both"/>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Pledgor may increase the registered capital of Party C only with the prior written consent of the Pledgee. Any additional capital contribution made by the Pledgor to Party C shall form part of the Pledged Equity.</w:t>
      </w:r>
    </w:p>
    <w:p>
      <w:pPr>
        <w:spacing w:after="0" w:line="162" w:lineRule="exact"/>
        <w:rPr>
          <w:sz w:val="20"/>
          <w:szCs w:val="20"/>
          <w:color w:val="auto"/>
        </w:rPr>
      </w:pPr>
    </w:p>
    <w:p>
      <w:pPr>
        <w:jc w:val="both"/>
        <w:ind w:left="1292" w:hanging="647"/>
        <w:spacing w:after="0" w:line="256" w:lineRule="auto"/>
        <w:tabs>
          <w:tab w:leader="none" w:pos="1271"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 the event that Party C is required to be dissolved or liquidated pursuant to mandatory provisions of PRC laws, any distribution received by the Pledgor from Party C upon completion of the lawful dissolution or liquidation of Party C shall, at the request of the Pledgee: (1) be deposited into an account designated by the Pledgee, subject to the supervision of the Pledgee, and used as security for the performance of the Contractual Obligations and for priority repayment of the Secured Obligations; or (2) to the extent permitted under PRC laws, be unconditionally gifted to the Pledgee or any Person designated by the Pledgee.</w:t>
      </w:r>
    </w:p>
    <w:p>
      <w:pPr>
        <w:spacing w:after="0" w:line="183" w:lineRule="exact"/>
        <w:rPr>
          <w:sz w:val="20"/>
          <w:szCs w:val="20"/>
          <w:color w:val="auto"/>
        </w:rPr>
      </w:pPr>
    </w:p>
    <w:p>
      <w:pPr>
        <w:ind w:left="652" w:hanging="652"/>
        <w:spacing w:after="0"/>
        <w:tabs>
          <w:tab w:leader="none" w:pos="652" w:val="left"/>
        </w:tabs>
        <w:numPr>
          <w:ilvl w:val="0"/>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Term</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Pledge shall become effective on the date when the pledge of the Pledged Equity under this Agreement is duly registered with the competent administration for market regulation, and shall remain effective until all Contractual Obligations have been fully performed and all Secured Obligations have been fully satisfied. The Pledgor and Party C shall: (1) within three (3) business days after the execution of this Agreement, register the Pledge in Party C’s register of shareholders; and (2) within [30] business days after the execution of this Agreement, apply for registration of the Pledge under this Agreement with the competent authority for business registration. The Parties hereby confirm that, for the purpose of completing the registration of the equity pledge, the Parties and the other shareholders of Party C shall submit this Agreement or an equity pledge agreement reflecting the pledge information under this Agreement in such form as required by the competent authority for business registration at the place where Party C is registered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1" w:name="page592"/>
    <w:bookmarkEnd w:id="591"/>
    <w:p>
      <w:pPr>
        <w:jc w:val="both"/>
        <w:ind w:left="1292"/>
        <w:spacing w:after="0" w:line="261" w:lineRule="auto"/>
        <w:rPr>
          <w:sz w:val="20"/>
          <w:szCs w:val="20"/>
          <w:color w:val="auto"/>
        </w:rPr>
      </w:pPr>
      <w:r>
        <w:rPr>
          <w:rFonts w:ascii="Times New Roman" w:cs="Times New Roman" w:eastAsia="Times New Roman" w:hAnsi="Times New Roman"/>
          <w:sz w:val="18"/>
          <w:szCs w:val="18"/>
          <w:color w:val="auto"/>
        </w:rPr>
        <w:t>Pledge Agreement”). Any matters not specified in the Registered Pledge Agreement shall be governed by this Agreement. The Pledgor and Party C shall, in accordance with the PRC laws and the requirements of the competent authority for business registration, submit all necessary documents and complete all necessary procedures to ensure that the Pledge is duly registered as soon as practicable after submission of the application.</w:t>
      </w:r>
    </w:p>
    <w:p>
      <w:pPr>
        <w:spacing w:after="0" w:line="180" w:lineRule="exact"/>
        <w:rPr>
          <w:sz w:val="20"/>
          <w:szCs w:val="20"/>
          <w:color w:val="auto"/>
        </w:rPr>
      </w:pPr>
    </w:p>
    <w:p>
      <w:pPr>
        <w:jc w:val="both"/>
        <w:ind w:left="1292" w:right="20"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the Pledge Term, if the Pledgor and/or Party C fails to perform the Contractual Obligations or repay the Secured Obligations, the Pledgee shall have the right, but not the obligation, to exercise the Pledge in accordance with this Agreement.</w:t>
      </w:r>
    </w:p>
    <w:p>
      <w:pPr>
        <w:spacing w:after="0" w:line="172" w:lineRule="exact"/>
        <w:rPr>
          <w:sz w:val="20"/>
          <w:szCs w:val="20"/>
          <w:color w:val="auto"/>
        </w:rPr>
      </w:pPr>
    </w:p>
    <w:p>
      <w:pPr>
        <w:ind w:left="652" w:hanging="652"/>
        <w:spacing w:after="0"/>
        <w:tabs>
          <w:tab w:leader="none" w:pos="652"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Custody of Certificates Evidencing the Pledge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4.1During the Pledge Term as stipulated under this Agreement, the Pledgor shall deliver to the Pledgee for custody the capital contribution certificate evidencing its equity interest in Party C and the register of shareholders reflecting the record of the Pledge. The Pledgor shall deliver the aforesaid capital contribution certificate and register of shareholders to the Pledgee within one (1) week after the execution of this Agreement. The Pledgee shall retain custody of such documents throughout the entire Pledge Term as provided under this Agreement.</w:t>
      </w:r>
    </w:p>
    <w:p>
      <w:pPr>
        <w:spacing w:after="0" w:line="179"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Pledgor and Party C</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Pledgor and Party C hereby jointly and severally represent and warrant to Party A as of the date of execution of this Agreement as follows:</w:t>
      </w:r>
    </w:p>
    <w:p>
      <w:pPr>
        <w:spacing w:after="0" w:line="16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The Pledgor is the sole legal and beneficial owner of the Pledged Equity.</w:t>
      </w:r>
    </w:p>
    <w:p>
      <w:pPr>
        <w:spacing w:after="0" w:line="225"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5.2The Pledgee shall have the right to dispose of and transfer the Pledged Equity in accordance with the provisions of this Agreement.</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5.3Other than the Pledge created under this Agreement, the Pledgor has not created any other pledge or other Security Interest over the Pledged Equity. There are no lawsuits, arbitrations, or administrative proceedings pending or, to the knowledge of the Pledgor, threatened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2" w:name="page593"/>
    <w:bookmarkEnd w:id="592"/>
    <w:p>
      <w:pPr>
        <w:ind w:left="1292"/>
        <w:spacing w:after="0"/>
        <w:rPr>
          <w:sz w:val="20"/>
          <w:szCs w:val="20"/>
          <w:color w:val="auto"/>
        </w:rPr>
      </w:pPr>
      <w:r>
        <w:rPr>
          <w:rFonts w:ascii="Times New Roman" w:cs="Times New Roman" w:eastAsia="Times New Roman" w:hAnsi="Times New Roman"/>
          <w:sz w:val="18"/>
          <w:szCs w:val="18"/>
          <w:color w:val="auto"/>
        </w:rPr>
        <w:t>Pledgor or the Pledged Equity.</w:t>
      </w:r>
    </w:p>
    <w:p>
      <w:pPr>
        <w:spacing w:after="0" w:line="225" w:lineRule="exact"/>
        <w:rPr>
          <w:sz w:val="20"/>
          <w:szCs w:val="20"/>
          <w:color w:val="auto"/>
        </w:rPr>
      </w:pPr>
    </w:p>
    <w:p>
      <w:pPr>
        <w:jc w:val="both"/>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Pledgor and Party C have obtained all necessary consents and approvals from third parties and governmental authorities (if required) for the execution, delivery and performance of this Agreement.</w:t>
      </w:r>
    </w:p>
    <w:p>
      <w:pPr>
        <w:spacing w:after="0" w:line="162" w:lineRule="exact"/>
        <w:rPr>
          <w:sz w:val="20"/>
          <w:szCs w:val="20"/>
          <w:color w:val="auto"/>
        </w:rPr>
      </w:pPr>
    </w:p>
    <w:p>
      <w:pPr>
        <w:jc w:val="both"/>
        <w:ind w:left="1292"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All documents delivered by the Pledgor to the Pledgee in connection with this Agreement are true, complete, and accurate in all material respects, and do not omit any information that would render any statement therein incorrect or misleading in any respect.</w:t>
      </w:r>
    </w:p>
    <w:p>
      <w:pPr>
        <w:spacing w:after="0" w:line="176" w:lineRule="exact"/>
        <w:rPr>
          <w:sz w:val="20"/>
          <w:szCs w:val="20"/>
          <w:color w:val="auto"/>
        </w:rPr>
      </w:pPr>
    </w:p>
    <w:p>
      <w:pPr>
        <w:jc w:val="both"/>
        <w:ind w:left="1292" w:hanging="647"/>
        <w:spacing w:after="0" w:line="256" w:lineRule="auto"/>
        <w:tabs>
          <w:tab w:leader="none" w:pos="1271"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The execution, delivery and performance of this Agreement shall not: (i) result in any violation of applicable PRC laws; (ii) conflict with the articles of association or other organizational documents of Party C; (iii) result in a breach of, or constitute a default under, any contract or instrument to which the Pledgor or Party C is a party or by which it is bound; (iv) result in a breach of any condition applicable to the grant or continued effectiveness of any license or approval issued to any Party; or (v) result in the suspension, revocation or imposition of additional conditions on any license or approval issued to any Party.</w:t>
      </w:r>
    </w:p>
    <w:p>
      <w:pPr>
        <w:spacing w:after="0" w:line="183" w:lineRule="exact"/>
        <w:rPr>
          <w:sz w:val="20"/>
          <w:szCs w:val="20"/>
          <w:color w:val="auto"/>
        </w:rPr>
      </w:pPr>
    </w:p>
    <w:p>
      <w:pPr>
        <w:ind w:left="652" w:hanging="652"/>
        <w:spacing w:after="0"/>
        <w:tabs>
          <w:tab w:leader="none" w:pos="652"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Pledgor and Party C</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6.1During the term of this Agreement, the Pledgor and Party C hereby jointly and severally covenant to the Pledgee as follows:</w:t>
      </w:r>
    </w:p>
    <w:p>
      <w:pPr>
        <w:spacing w:after="0" w:line="162" w:lineRule="exact"/>
        <w:rPr>
          <w:sz w:val="20"/>
          <w:szCs w:val="20"/>
          <w:color w:val="auto"/>
        </w:rPr>
      </w:pPr>
    </w:p>
    <w:p>
      <w:pPr>
        <w:jc w:val="both"/>
        <w:ind w:left="1952" w:hanging="647"/>
        <w:spacing w:after="0" w:line="266" w:lineRule="auto"/>
        <w:tabs>
          <w:tab w:leader="none" w:pos="1931" w:val="left"/>
        </w:tabs>
        <w:rPr>
          <w:sz w:val="20"/>
          <w:szCs w:val="20"/>
          <w:color w:val="auto"/>
        </w:rPr>
      </w:pPr>
      <w:r>
        <w:rPr>
          <w:rFonts w:ascii="Times New Roman" w:cs="Times New Roman" w:eastAsia="Times New Roman" w:hAnsi="Times New Roman"/>
          <w:sz w:val="18"/>
          <w:szCs w:val="18"/>
          <w:color w:val="auto"/>
        </w:rPr>
        <w:t>6.1.1.</w:t>
        <w:tab/>
        <w:t>Except as required for the performance of the Transaction Documents, without the prior written consent of the Pledgee, the Pledgor shall not transfer the Pledged Equity or any part thereof, nor create or permit the creation of any Security Interest or other Encumbrance over the Pledged Equity.</w:t>
      </w:r>
    </w:p>
    <w:p>
      <w:pPr>
        <w:spacing w:after="0" w:line="176" w:lineRule="exact"/>
        <w:rPr>
          <w:sz w:val="20"/>
          <w:szCs w:val="20"/>
          <w:color w:val="auto"/>
        </w:rPr>
      </w:pPr>
    </w:p>
    <w:p>
      <w:pPr>
        <w:jc w:val="both"/>
        <w:ind w:left="1952" w:hanging="647"/>
        <w:spacing w:after="0" w:line="257" w:lineRule="auto"/>
        <w:tabs>
          <w:tab w:leader="none" w:pos="1931" w:val="left"/>
        </w:tabs>
        <w:rPr>
          <w:sz w:val="20"/>
          <w:szCs w:val="20"/>
          <w:color w:val="auto"/>
        </w:rPr>
      </w:pPr>
      <w:r>
        <w:rPr>
          <w:rFonts w:ascii="Times New Roman" w:cs="Times New Roman" w:eastAsia="Times New Roman" w:hAnsi="Times New Roman"/>
          <w:sz w:val="18"/>
          <w:szCs w:val="18"/>
          <w:color w:val="auto"/>
        </w:rPr>
        <w:t>6.1.2.</w:t>
        <w:tab/>
        <w:t>The Pledgor and Party C shall comply with all applicable laws and regulations relating to pledges of rights. Upon receipt of any notice, order or recommendation from any competent authority relating to the Pledge, the Pledgor and Party C shall promptly present such notice, order or recommendation to the Pledgee within five</w:t>
      </w:r>
    </w:p>
    <w:p>
      <w:pPr>
        <w:spacing w:after="0" w:line="1" w:lineRule="exact"/>
        <w:rPr>
          <w:sz w:val="20"/>
          <w:szCs w:val="20"/>
          <w:color w:val="auto"/>
        </w:rPr>
      </w:pPr>
    </w:p>
    <w:p>
      <w:pPr>
        <w:ind w:left="2192" w:hanging="248"/>
        <w:spacing w:after="0"/>
        <w:tabs>
          <w:tab w:leader="none" w:pos="219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and shall comply with such notice, order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49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3" w:name="page594"/>
    <w:bookmarkEnd w:id="593"/>
    <w:p>
      <w:pPr>
        <w:ind w:left="1500"/>
        <w:spacing w:after="0" w:line="282" w:lineRule="auto"/>
        <w:rPr>
          <w:sz w:val="20"/>
          <w:szCs w:val="20"/>
          <w:color w:val="auto"/>
        </w:rPr>
      </w:pPr>
      <w:r>
        <w:rPr>
          <w:rFonts w:ascii="Times New Roman" w:cs="Times New Roman" w:eastAsia="Times New Roman" w:hAnsi="Times New Roman"/>
          <w:sz w:val="18"/>
          <w:szCs w:val="18"/>
          <w:color w:val="auto"/>
        </w:rPr>
        <w:t>recommendation, or raise objections and representations with respect thereto upon the reasonable request of, or with the consent of, the Pledgee.</w:t>
      </w:r>
    </w:p>
    <w:p>
      <w:pPr>
        <w:spacing w:after="0" w:line="162" w:lineRule="exact"/>
        <w:rPr>
          <w:sz w:val="20"/>
          <w:szCs w:val="20"/>
          <w:color w:val="auto"/>
        </w:rPr>
      </w:pPr>
    </w:p>
    <w:p>
      <w:pPr>
        <w:jc w:val="both"/>
        <w:ind w:left="1500" w:right="20" w:hanging="647"/>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6.1.3.</w:t>
        <w:tab/>
        <w:t>The Pledgor and Party C shall promptly notify the Pledgee of any event or notice received that may affect the Pledgor’s rights in the Pledged Equity or any part thereof, or may affect any of the representations, obligations or undertakings of the Pledgor under this Agreement, or may affect the Pledgor’s performance of its obligations under this Agreement.</w:t>
      </w:r>
    </w:p>
    <w:p>
      <w:pPr>
        <w:spacing w:after="0" w:line="180" w:lineRule="exact"/>
        <w:rPr>
          <w:sz w:val="20"/>
          <w:szCs w:val="20"/>
          <w:color w:val="auto"/>
        </w:rPr>
      </w:pPr>
    </w:p>
    <w:p>
      <w:pPr>
        <w:jc w:val="center"/>
        <w:ind w:left="2260" w:right="20"/>
        <w:spacing w:after="0" w:line="282" w:lineRule="auto"/>
        <w:rPr>
          <w:sz w:val="20"/>
          <w:szCs w:val="20"/>
          <w:color w:val="auto"/>
        </w:rPr>
      </w:pPr>
      <w:r>
        <w:rPr>
          <w:rFonts w:ascii="Times New Roman" w:cs="Times New Roman" w:eastAsia="Times New Roman" w:hAnsi="Times New Roman"/>
          <w:sz w:val="18"/>
          <w:szCs w:val="18"/>
          <w:color w:val="auto"/>
        </w:rPr>
        <w:t>6.1.4.   Party C shall, no later than three (3) months prior to the expiration of its business term, complete the procedures for extension of its business term so as to ensure the continued validity of this Agreement.</w:t>
      </w:r>
    </w:p>
    <w:p>
      <w:pPr>
        <w:spacing w:after="0" w:line="162" w:lineRule="exact"/>
        <w:rPr>
          <w:sz w:val="20"/>
          <w:szCs w:val="20"/>
          <w:color w:val="auto"/>
        </w:rPr>
      </w:pPr>
    </w:p>
    <w:p>
      <w:pPr>
        <w:jc w:val="both"/>
        <w:ind w:left="150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6.1.5.</w:t>
        <w:tab/>
        <w:t>Without the prior written consent of the Pledgee, the Pledgor shall not amend or otherwise modify the articles of association of Party C, nor take any action that may adversely affect the Pledgee’s rights with respect to the Pledged Equity or any of its rights under this Agreement.</w:t>
      </w:r>
    </w:p>
    <w:p>
      <w:pPr>
        <w:spacing w:after="0" w:line="176"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Pledgor agrees that the rights of the Pledgee with respect to the Pledge obtained pursuant to this Agreement shall not be interrupted or impaired by the Pledgor, the Pledgor’s heirs, the Pledgor’s authorized representatives or any other Person through any legal proceedings.</w:t>
      </w:r>
    </w:p>
    <w:p>
      <w:pPr>
        <w:spacing w:after="0" w:line="176" w:lineRule="exact"/>
        <w:rPr>
          <w:sz w:val="20"/>
          <w:szCs w:val="20"/>
          <w:color w:val="auto"/>
        </w:rPr>
      </w:pPr>
    </w:p>
    <w:p>
      <w:pPr>
        <w:jc w:val="both"/>
        <w:ind w:left="840" w:hanging="647"/>
        <w:spacing w:after="0" w:line="255" w:lineRule="auto"/>
        <w:tabs>
          <w:tab w:leader="none" w:pos="8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Pledgor hereby undertakes to the Pledgee that, in order to protect or perfect the security created under this Agreement for the Contractual Obligations and the Secured Obligations, the Pledgor shall faithfully execute, and procure other interested parties to execute, all certificates of rights, deeds and/or take, and procure other interested parties to take, all actions as reasonably required by the Pledgee. The Pledgor shall facilitate the exercise of the rights and powers granted to the Pledgee under this Agreement, execute all documents relating to the ownership of the Pledged Equity with the Pledgee or any Person designated by the Pledgee (whether a natural person or legal entity), and provide to the Pledgee,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594" w:name="page595"/>
    <w:bookmarkEnd w:id="594"/>
    <w:p>
      <w:pPr>
        <w:ind w:left="1292"/>
        <w:spacing w:after="0" w:line="282" w:lineRule="auto"/>
        <w:rPr>
          <w:sz w:val="20"/>
          <w:szCs w:val="20"/>
          <w:color w:val="auto"/>
        </w:rPr>
      </w:pPr>
      <w:r>
        <w:rPr>
          <w:rFonts w:ascii="Times New Roman" w:cs="Times New Roman" w:eastAsia="Times New Roman" w:hAnsi="Times New Roman"/>
          <w:sz w:val="18"/>
          <w:szCs w:val="18"/>
          <w:color w:val="auto"/>
        </w:rPr>
        <w:t>within a reasonable period, all notices, orders and decisions relating to the Pledge as the Pledgee may reasonably deem necessary.</w:t>
      </w:r>
    </w:p>
    <w:p>
      <w:pPr>
        <w:spacing w:after="0" w:line="162" w:lineRule="exact"/>
        <w:rPr>
          <w:sz w:val="20"/>
          <w:szCs w:val="20"/>
          <w:color w:val="auto"/>
        </w:rPr>
      </w:pPr>
    </w:p>
    <w:p>
      <w:pPr>
        <w:ind w:left="1292"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Pledgor hereby undertakes to the Pledgee that it shall comply with and perform all representations, warranties, covenants, agreements and conditions under this Agreement.</w:t>
      </w:r>
    </w:p>
    <w:p>
      <w:pPr>
        <w:spacing w:after="0" w:line="158" w:lineRule="exact"/>
        <w:rPr>
          <w:sz w:val="20"/>
          <w:szCs w:val="20"/>
          <w:color w:val="auto"/>
        </w:rPr>
      </w:pPr>
    </w:p>
    <w:p>
      <w:pPr>
        <w:ind w:left="652" w:hanging="652"/>
        <w:spacing w:after="0"/>
        <w:tabs>
          <w:tab w:leader="none" w:pos="652"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7.1Each of the following events shall constitute an Event of Default:</w:t>
      </w:r>
    </w:p>
    <w:p>
      <w:pPr>
        <w:spacing w:after="0" w:line="225" w:lineRule="exact"/>
        <w:rPr>
          <w:rFonts w:ascii="Times New Roman" w:cs="Times New Roman" w:eastAsia="Times New Roman" w:hAnsi="Times New Roman"/>
          <w:sz w:val="18"/>
          <w:szCs w:val="18"/>
          <w:b w:val="1"/>
          <w:bCs w:val="1"/>
          <w:color w:val="auto"/>
        </w:rPr>
      </w:pPr>
    </w:p>
    <w:p>
      <w:pPr>
        <w:ind w:left="12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7.1.1.   Any breach by the Pledgor of any obligation under any Transaction Document and/or this Agreement;</w:t>
      </w:r>
    </w:p>
    <w:p>
      <w:pPr>
        <w:spacing w:after="0" w:line="225" w:lineRule="exact"/>
        <w:rPr>
          <w:rFonts w:ascii="Times New Roman" w:cs="Times New Roman" w:eastAsia="Times New Roman" w:hAnsi="Times New Roman"/>
          <w:sz w:val="18"/>
          <w:szCs w:val="18"/>
          <w:b w:val="1"/>
          <w:bCs w:val="1"/>
          <w:color w:val="auto"/>
        </w:rPr>
      </w:pPr>
    </w:p>
    <w:p>
      <w:pPr>
        <w:ind w:left="12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7.1.2.   Any breach by Party C of any obligation under any Transaction Document and/or this Agreement.</w:t>
      </w:r>
    </w:p>
    <w:p>
      <w:pPr>
        <w:spacing w:after="0" w:line="225"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7.2If the Pledgor or Party C becomes aware of or discovers that any event described in Section 7.1 has occurred or may occur, the Pledgor and Party C shall immediately notify the Pledgee in writing.</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7.3Unless any Event of Default under Section 7.1 has been remedied to the satisfaction of the Pledgee within twenty (20) days after the Pledgee has issued a notice requiring remedy of such breach to the Pledgor and/or Party C, the Pledgee may, at any time thereafter, subject to Section 8.1, issue a written Default Notice to the Pledgor and require the exercise of the Pledge in accordance with Section 8.</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the Pledge</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8.1Notwithstanding any provision to the contrary in this Agreement, any Transaction Document or any other agreement entered into among the Pledgee, the Pledgor and/or Party C, the Pledgee shall not enforce the Pledge under this Agreement unless the Pledgee simultaneously enforces all pledges or other Security Interests granted to the Pledgee by the other shareholders of Party C over the equity interests held by such other shareholders in Party C pursuant to other equity pledge agreements; provided, however, that where the Pledgor breaches any obligation under any Transaction Document and/or this Agreement, the Pledgee’s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5" w:name="page596"/>
    <w:bookmarkEnd w:id="595"/>
    <w:p>
      <w:pPr>
        <w:ind w:left="840"/>
        <w:spacing w:after="0"/>
        <w:rPr>
          <w:sz w:val="20"/>
          <w:szCs w:val="20"/>
          <w:color w:val="auto"/>
        </w:rPr>
      </w:pPr>
      <w:r>
        <w:rPr>
          <w:rFonts w:ascii="Times New Roman" w:cs="Times New Roman" w:eastAsia="Times New Roman" w:hAnsi="Times New Roman"/>
          <w:sz w:val="18"/>
          <w:szCs w:val="18"/>
          <w:color w:val="auto"/>
        </w:rPr>
        <w:t>of the Pledge shall not be subject to the limitation under this Section 8.1.</w:t>
      </w:r>
    </w:p>
    <w:p>
      <w:pPr>
        <w:spacing w:after="0" w:line="22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When exercising the Pledge, the Pledgee shall issue a written Default Notice to the Pledgor.</w:t>
      </w:r>
    </w:p>
    <w:p>
      <w:pPr>
        <w:spacing w:after="0" w:line="225"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Subject to Sections 7.3 and 8.1, the Pledgee may, at any time after issuing the Default Notice in accordance with Section 8.2, exercise the right to dispose of the Pledge. Upon the Pledgee’s decision to exercise its right to dispose of the Pledge, the Pledgor shall no longer have any rights or interests with respect to the Pledged Equity.</w:t>
      </w:r>
    </w:p>
    <w:p>
      <w:pPr>
        <w:spacing w:after="0" w:line="176" w:lineRule="exact"/>
        <w:rPr>
          <w:sz w:val="20"/>
          <w:szCs w:val="20"/>
          <w:color w:val="auto"/>
        </w:rPr>
      </w:pPr>
    </w:p>
    <w:p>
      <w:pPr>
        <w:jc w:val="both"/>
        <w:ind w:left="840" w:right="20" w:hanging="647"/>
        <w:spacing w:after="0" w:line="281" w:lineRule="auto"/>
        <w:tabs>
          <w:tab w:leader="none" w:pos="8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After issuing the Default Notice in accordance with Section 8.2, the Pledgee shall have the right to exercise all remedies available to it under PRC laws, the Transaction Documents and this Agreement, including, without limitation, obtaining priority repayment from the proceeds derived from conversion into value, auction or sale of the Pledged Equity. The Pledgee shall not be liable for any loss arising from its reasonable exercise of such rights and powers.</w:t>
      </w:r>
    </w:p>
    <w:p>
      <w:pPr>
        <w:spacing w:after="0" w:line="164" w:lineRule="exact"/>
        <w:rPr>
          <w:sz w:val="20"/>
          <w:szCs w:val="20"/>
          <w:color w:val="auto"/>
        </w:rPr>
      </w:pPr>
    </w:p>
    <w:p>
      <w:pPr>
        <w:jc w:val="both"/>
        <w:ind w:left="840" w:hanging="647"/>
        <w:spacing w:after="0" w:line="255" w:lineRule="auto"/>
        <w:tabs>
          <w:tab w:leader="none" w:pos="8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Any proceeds obtained by the Pledgee from the enforcement of the Pledge shall first be used to pay any taxes and expenses payable as a result of the disposal of the Pledged Equity and to perform the Contractual Obligations and repay the Secured Obligations owed to the Pledgee. Any remaining balance after deduction of the foregoing amounts shall be returned to the Pledgor or any other Person entitled thereto under applicable laws and regulations, or deposited with a notary office at the place where the Pledgor is located (any expenses arising therefrom shall be borne by the Pledgor). To the extent permitted under PRC laws, the Pledgor shall unconditionally gift such remaining balance to the Pledgee or any Person designated by the Pledgee.</w:t>
      </w:r>
    </w:p>
    <w:p>
      <w:pPr>
        <w:spacing w:after="0" w:line="189"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Subject to Section 8.1, the Pledgee shall have the right to exercise any of its remedies for breach either simultaneously or sequentially. The Pledgee shall not be required to first exercise any other remedy before exercising its right to priority repayment from the proceeds derived from conversion into value, auction or sale of the Pledged Equity under this Agreement.</w:t>
      </w:r>
    </w:p>
    <w:p>
      <w:pPr>
        <w:spacing w:after="0" w:line="180"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Pledgee shall have the right to designate its attorneys or other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596" w:name="page597"/>
    <w:bookmarkEnd w:id="596"/>
    <w:p>
      <w:pPr>
        <w:ind w:left="1292"/>
        <w:spacing w:after="0"/>
        <w:rPr>
          <w:sz w:val="20"/>
          <w:szCs w:val="20"/>
          <w:color w:val="auto"/>
        </w:rPr>
      </w:pPr>
      <w:r>
        <w:rPr>
          <w:rFonts w:ascii="Times New Roman" w:cs="Times New Roman" w:eastAsia="Times New Roman" w:hAnsi="Times New Roman"/>
          <w:sz w:val="18"/>
          <w:szCs w:val="18"/>
          <w:color w:val="auto"/>
        </w:rPr>
        <w:t>in writing to exercise the Pledge on its behalf, and the Pledgor and Party C shall raise no objection thereto.</w:t>
      </w:r>
    </w:p>
    <w:p>
      <w:pPr>
        <w:spacing w:after="0" w:line="225"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When disposing of the Pledge in accordance with this Agreement, the Pledgor and Party C shall provide all necessary assistance to enable the Pledgee to realize its rights under the Pledge.</w:t>
      </w:r>
    </w:p>
    <w:p>
      <w:pPr>
        <w:spacing w:after="0" w:line="158" w:lineRule="exact"/>
        <w:rPr>
          <w:sz w:val="20"/>
          <w:szCs w:val="20"/>
          <w:color w:val="auto"/>
        </w:rPr>
      </w:pPr>
    </w:p>
    <w:p>
      <w:pPr>
        <w:ind w:left="652" w:hanging="652"/>
        <w:spacing w:after="0"/>
        <w:tabs>
          <w:tab w:leader="none" w:pos="652"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9.1Subject to Section 9.3, if the Pledgor or Party C materially breaches any provision of this Agreement, the Pledgee shall have the right to terminate this Agreement and/or require the breaching party to compensate for damages. Subject to Section 9.3, this Section 9 shall not prejudice any other rights of the Pledgee under this Agreement.</w:t>
      </w:r>
    </w:p>
    <w:p>
      <w:pPr>
        <w:spacing w:after="0" w:line="175"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9.2Except as otherwise required by applicable laws, the Pledgor or Party C shall not have any right to terminate or rescind this Agreement under any circumstances.</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9.3If the Pledgor breaches any representation, warranty, covenant, agreement, or condition under this Agreement or any other Transaction Document, the Pledgee shall have the right to exercise the Pledge over the equity in Party C held by the Pledgor in accordance with Article 8 of this Agreement.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Without the prior written consent of the Pledgee, the Pledgor and Party C shall not assign or transfer any of their rights or obligations under this Agreement by way of gift or otherwise.</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This Agreement shall be binding upon the Pledgor and its successors and permitted assigns, and shall inure to the benefit of the Pledgee and each of its successors and assigns.</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The Pledgee may, at any time, assign all or any of its rights and obligations under the Transaction Documents and this Agreement to any Person designated by it, in which case the assignee shall enjoy and assume the rights and obligations of the Pledgee under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7" w:name="page598"/>
    <w:bookmarkEnd w:id="597"/>
    <w:p>
      <w:pPr>
        <w:ind w:left="1292"/>
        <w:spacing w:after="0"/>
        <w:rPr>
          <w:sz w:val="20"/>
          <w:szCs w:val="20"/>
          <w:color w:val="auto"/>
        </w:rPr>
      </w:pPr>
      <w:r>
        <w:rPr>
          <w:rFonts w:ascii="Times New Roman" w:cs="Times New Roman" w:eastAsia="Times New Roman" w:hAnsi="Times New Roman"/>
          <w:sz w:val="18"/>
          <w:szCs w:val="18"/>
          <w:color w:val="auto"/>
        </w:rPr>
        <w:t>Documents and this Agreement as if it were an original party hereto.</w:t>
      </w:r>
    </w:p>
    <w:p>
      <w:pPr>
        <w:spacing w:after="0" w:line="225" w:lineRule="exact"/>
        <w:rPr>
          <w:sz w:val="20"/>
          <w:szCs w:val="20"/>
          <w:color w:val="auto"/>
        </w:rPr>
      </w:pPr>
    </w:p>
    <w:p>
      <w:pPr>
        <w:jc w:val="both"/>
        <w:ind w:left="1292" w:right="20"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any change of the Pledgee resulting from an assignment, the Pledgor and/or Party C shall, at the request of the Pledgee, enter into a new equity pledge agreement with the new pledgee on terms substantially identical to those of this Agreement and complete the relevant registration with the competent authority for business registration.</w:t>
      </w:r>
    </w:p>
    <w:p>
      <w:pPr>
        <w:spacing w:after="0" w:line="176" w:lineRule="exact"/>
        <w:rPr>
          <w:sz w:val="20"/>
          <w:szCs w:val="20"/>
          <w:color w:val="auto"/>
        </w:rPr>
      </w:pPr>
    </w:p>
    <w:p>
      <w:pPr>
        <w:jc w:val="both"/>
        <w:ind w:left="1292" w:hanging="647"/>
        <w:spacing w:after="0" w:line="258" w:lineRule="auto"/>
        <w:tabs>
          <w:tab w:leader="none" w:pos="1271"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The Pledgor and Party C shall strictly comply with the provisions of this Agreement and other agreements entered into individually or jointly by the Parties, including the Transaction Documents, perform their obligations under the Transaction Documents, and shall not take or omit to take any action that may affect the validity or enforceability of such agreements. Unless otherwise instructed in writing by the Pledgee, the Pledgor shall not exercise any rights remaining in the Pledged Equity.</w:t>
      </w:r>
    </w:p>
    <w:p>
      <w:pPr>
        <w:spacing w:after="0" w:line="179" w:lineRule="exact"/>
        <w:rPr>
          <w:sz w:val="20"/>
          <w:szCs w:val="20"/>
          <w:color w:val="auto"/>
        </w:rPr>
      </w:pPr>
    </w:p>
    <w:p>
      <w:pPr>
        <w:ind w:left="652" w:hanging="652"/>
        <w:spacing w:after="0"/>
        <w:tabs>
          <w:tab w:leader="none" w:pos="652"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11.1After the Pledgor and Party C have fully performed all Contractual Obligations and fully repaid all Secured Obligations, the Pledgee shall, upon the request of the Pledgor, release the Pledge over the Pledged Equity under this Agreement as soon as reasonably practicable and cooperate with the Pledgor in completing the deregistration of the equity pledge recorded in Party C’s register of shareholders and the deregistration of the Pledge with the competent authority for business registration.</w:t>
      </w:r>
    </w:p>
    <w:p>
      <w:pPr>
        <w:spacing w:after="0" w:line="183"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7"/>
          <w:szCs w:val="17"/>
          <w:color w:val="auto"/>
        </w:rPr>
        <w:t>The provisions of Sections 9, 13, 14 and this Section 11.2 shall survive the termination of this Agreement.</w:t>
      </w:r>
    </w:p>
    <w:p>
      <w:pPr>
        <w:spacing w:after="0" w:line="22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Other Expenses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costs and actual expenses incurred in connection with this Agreement, including but not limited to legal fees, production costs, stamp duty and any other taxes and expenses, shall be borne by Party C.</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98" w:name="page599"/>
    <w:bookmarkEnd w:id="598"/>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directors, employees, legal or financial advisors in connection with the transactions contemplated under this Agreement, provided that such persons shall be subject to confidentiality obligations substantially similar to those set forth herein. Any breach of confidentiality by a Party’s shareholders, directors, employees or engaged institutions shall be deemed a breach by such Party, which shall bear liability for breach in accordance with this Agreement.</w:t>
      </w:r>
    </w:p>
    <w:p>
      <w:pPr>
        <w:spacing w:after="0" w:line="188" w:lineRule="exact"/>
        <w:rPr>
          <w:sz w:val="20"/>
          <w:szCs w:val="20"/>
          <w:color w:val="auto"/>
        </w:rPr>
      </w:pPr>
    </w:p>
    <w:p>
      <w:pPr>
        <w:ind w:left="660" w:hanging="652"/>
        <w:spacing w:after="0"/>
        <w:tabs>
          <w:tab w:leader="none" w:pos="660"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The execution, validity, interpretation, performance, amendment and termination of this Agreement and the resolution of any disputes hereunder shall be governed by the PRC laws.</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Any dispute arising from the interpretation or performance of this Agreement shall first be resolved through friendly consultation among the Parties. If the dispute cannot be resolved within thirty (30) days after one Party delivers a written notice requesting consultation, any Party may submit such dispute to the court of competent jurisdiction at the place of domicile of the plaintiff for litigation.</w:t>
      </w:r>
    </w:p>
    <w:p>
      <w:pPr>
        <w:spacing w:after="0" w:line="179" w:lineRule="exact"/>
        <w:rPr>
          <w:rFonts w:ascii="Times New Roman" w:cs="Times New Roman" w:eastAsia="Times New Roman" w:hAnsi="Times New Roman"/>
          <w:sz w:val="18"/>
          <w:szCs w:val="18"/>
          <w:b w:val="1"/>
          <w:bCs w:val="1"/>
          <w:color w:val="auto"/>
        </w:rPr>
      </w:pPr>
    </w:p>
    <w:p>
      <w:pPr>
        <w:ind w:left="130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14.3 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99" w:name="page600"/>
    <w:bookmarkEnd w:id="599"/>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delivered by hand, courier service or registered mail (postage prepaid), the date of receipt or rejection at the designated address shall be deemed the effective delivery date.</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If delivered by facsimile, the date of successful transmission (as evidenced by the automatically generated transmission confirmation) shall be deemed the effective delivery date.</w:t>
      </w:r>
    </w:p>
    <w:p>
      <w:pPr>
        <w:spacing w:after="0" w:line="158" w:lineRule="exact"/>
        <w:rPr>
          <w:sz w:val="20"/>
          <w:szCs w:val="20"/>
          <w:color w:val="auto"/>
        </w:rPr>
      </w:pPr>
    </w:p>
    <w:p>
      <w:pPr>
        <w:ind w:left="660" w:hanging="652"/>
        <w:spacing w:after="0"/>
        <w:tabs>
          <w:tab w:leader="none" w:pos="66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Annexes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annexes attached hereto shall form an integral part of this Agreement.</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This Agreement shall become effective upon execution by all Parties.</w:t>
      </w:r>
    </w:p>
    <w:p>
      <w:pPr>
        <w:spacing w:after="0" w:line="22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18.2 Any amendment, supplement or modification to this Agreement shall be made in writing, signed or sealed by the Parties and registered with the relevant governmental authority (if required) before becoming effective.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 and Counterparts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executed in four (4) originals. The Pledgee, the Pledgor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00" w:name="page601"/>
    <w:bookmarkEnd w:id="600"/>
    <w:p>
      <w:pPr>
        <w:ind w:left="200"/>
        <w:spacing w:after="0" w:line="282" w:lineRule="auto"/>
        <w:rPr>
          <w:sz w:val="20"/>
          <w:szCs w:val="20"/>
          <w:color w:val="auto"/>
        </w:rPr>
      </w:pPr>
      <w:r>
        <w:rPr>
          <w:rFonts w:ascii="Times New Roman" w:cs="Times New Roman" w:eastAsia="Times New Roman" w:hAnsi="Times New Roman"/>
          <w:sz w:val="18"/>
          <w:szCs w:val="18"/>
          <w:color w:val="auto"/>
        </w:rPr>
        <w:t>Party C shall each hold one original, and the remaining original shall be used for registration purposes. Each original shall have equal legal effect.</w:t>
      </w: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601" w:name="page602"/>
    <w:bookmarkEnd w:id="60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Equity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02" w:name="page603"/>
    <w:bookmarkEnd w:id="60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Equity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03" w:name="page604"/>
    <w:bookmarkEnd w:id="60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Equity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color w:val="auto"/>
        </w:rPr>
        <w:t>Annexes: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Register of Shareholders of Party C;</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605" w:name="page606"/>
    <w:bookmarkEnd w:id="605"/>
    <w:p>
      <w:pPr>
        <w:jc w:val="right"/>
        <w:spacing w:after="0"/>
        <w:rPr>
          <w:sz w:val="20"/>
          <w:szCs w:val="20"/>
          <w:color w:val="auto"/>
        </w:rPr>
      </w:pPr>
      <w:r>
        <w:rPr>
          <w:rFonts w:ascii="Times New Roman" w:cs="Times New Roman" w:eastAsia="Times New Roman" w:hAnsi="Times New Roman"/>
          <w:sz w:val="18"/>
          <w:szCs w:val="18"/>
          <w:b w:val="1"/>
          <w:bCs w:val="1"/>
          <w:color w:val="auto"/>
        </w:rPr>
        <w:t>Exhibit 4.45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PARTNERSHIP INTEREST PLEDGE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This Partnership Interest Pledge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[February 20], 2025 in Shenzhen,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 the following parties:</w:t>
      </w:r>
    </w:p>
    <w:p>
      <w:pPr>
        <w:spacing w:after="0" w:line="155" w:lineRule="exact"/>
        <w:rPr>
          <w:sz w:val="20"/>
          <w:szCs w:val="20"/>
          <w:color w:val="auto"/>
        </w:rPr>
      </w:pPr>
    </w:p>
    <w:p>
      <w:pPr>
        <w:jc w:val="both"/>
        <w:ind w:left="98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Party A:</w:t>
      </w:r>
      <w:r>
        <w:rPr>
          <w:sz w:val="20"/>
          <w:szCs w:val="20"/>
          <w:color w:val="auto"/>
        </w:rPr>
        <w:tab/>
      </w:r>
      <w:r>
        <w:rPr>
          <w:rFonts w:ascii="Times New Roman" w:cs="Times New Roman" w:eastAsia="Times New Roman" w:hAnsi="Times New Roman"/>
          <w:sz w:val="18"/>
          <w:szCs w:val="18"/>
          <w:b w:val="1"/>
          <w:bCs w:val="1"/>
          <w:color w:val="auto"/>
        </w:rPr>
        <w:t xml:space="preserve">Xunlei Computer (Shenzhen)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 a wholly foreign-owned enterprise duly established and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under the PRC laws, with its address at Room 0610-E12, Port Building, Maritime Center, No. 59 Linhai Avenue, Nanshan Subdistrict, Qianhai Shenzhen-Hongkong Modern Service Industry Cooperation Zone, Shenzhen;</w:t>
      </w:r>
    </w:p>
    <w:p>
      <w:pPr>
        <w:spacing w:after="0" w:line="171"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Party B:</w:t>
      </w:r>
      <w:r>
        <w:rPr>
          <w:sz w:val="20"/>
          <w:szCs w:val="20"/>
          <w:color w:val="auto"/>
        </w:rPr>
        <w:tab/>
      </w:r>
      <w:r>
        <w:rPr>
          <w:rFonts w:ascii="Times New Roman" w:cs="Times New Roman" w:eastAsia="Times New Roman" w:hAnsi="Times New Roman"/>
          <w:sz w:val="18"/>
          <w:szCs w:val="18"/>
          <w:b w:val="1"/>
          <w:bCs w:val="1"/>
          <w:color w:val="auto"/>
        </w:rPr>
        <w:t xml:space="preserve">Wu Kening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a PRC citizen, ID No. ******************, residing at [Room 2-2-501, Fenggang Garden,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 Jinhu Road, Luohu District, Shenzhen]; and</w:t>
      </w:r>
    </w:p>
    <w:p>
      <w:pPr>
        <w:spacing w:after="0" w:line="155" w:lineRule="exact"/>
        <w:rPr>
          <w:sz w:val="20"/>
          <w:szCs w:val="20"/>
          <w:color w:val="auto"/>
        </w:rPr>
      </w:pPr>
    </w:p>
    <w:p>
      <w:pPr>
        <w:jc w:val="both"/>
        <w:ind w:left="98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Party C:</w:t>
      </w:r>
      <w:r>
        <w:rPr>
          <w:sz w:val="20"/>
          <w:szCs w:val="20"/>
          <w:color w:val="auto"/>
        </w:rPr>
        <w:tab/>
      </w:r>
      <w:r>
        <w:rPr>
          <w:rFonts w:ascii="Times New Roman" w:cs="Times New Roman" w:eastAsia="Times New Roman" w:hAnsi="Times New Roman"/>
          <w:sz w:val="18"/>
          <w:szCs w:val="18"/>
          <w:b w:val="1"/>
          <w:bCs w:val="1"/>
          <w:color w:val="auto"/>
        </w:rPr>
        <w:t>Shenzhen Zhiyi Wensi Consulting Partnership (Limited Partnership)</w:t>
      </w:r>
      <w:r>
        <w:rPr>
          <w:rFonts w:ascii="Times New Roman" w:cs="Times New Roman" w:eastAsia="Times New Roman" w:hAnsi="Times New Roman"/>
          <w:sz w:val="18"/>
          <w:szCs w:val="18"/>
          <w:color w:val="auto"/>
        </w:rPr>
        <w:t>, a limited partnership duly established and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under the PRC laws, with its address at Room 1402-29, Building 1, Shenzhen Software Industry Base, Nos. 81, 83, 85 Gaoxin South 10th Road, Binhai Community, Yuehai Subdistrict, Nanshan District, Shenzhen.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Pledgee, the Pledgor and Party C are hereinafter referred to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is a PRC citizen. As of the date of this Agreement, the Pledgor holds [95]% of the partnership interest in Party C, representing registered capital of RMB [95,000] in Party C. Party C agrees to confirm the rights and obligations of the Pledgor and the Pledgee under this Agreement and to provide necessary assistance in registering the partnership interest pledge.</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foreign-owned enterprise duly registered in the PRC. The Pledgee has entered into an Exclusive Business Cooperation Agreement (as defined below) with Party C in which the Pledgor holds a partnership interest;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6" w:name="page607"/>
    <w:bookmarkEnd w:id="606"/>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Pledgee, the Pledgor and Party C have entered into an Exclusive Option Agreement (as defined below); the Pledgee and the Pledgor have entered into a Loan Agreement (as defined below); and the Pledgor has executed a Power of Attorney in favor of the Pledgee (as defined below).</w:t>
      </w:r>
    </w:p>
    <w:p>
      <w:pPr>
        <w:spacing w:after="0" w:line="176" w:lineRule="exact"/>
        <w:rPr>
          <w:sz w:val="20"/>
          <w:szCs w:val="20"/>
          <w:color w:val="auto"/>
        </w:rPr>
      </w:pPr>
    </w:p>
    <w:p>
      <w:pPr>
        <w:jc w:val="both"/>
        <w:ind w:left="340" w:right="20" w:hanging="332"/>
        <w:spacing w:after="0" w:line="266" w:lineRule="auto"/>
        <w:tabs>
          <w:tab w:leader="none" w:pos="34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the performance by Party C and the Pledgor of their respective obligations under the Exclusive Business Cooperation Agreement, the Exclusive Option Agreement, the Loan Agreement and the Power of Attorney, the Pledgor agrees to pledge all of its partnership interest in Party C in favor of the Pledgee as security for the performance of such obligations.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order to perform the provisions of the Transaction Documents, the Parties hereby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provided herein, the following terms shall have the meanings set forth below:</w:t>
      </w:r>
    </w:p>
    <w:p>
      <w:pPr>
        <w:spacing w:after="0" w:line="225"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“Pledge” means the security interest granted by the Pledgor to the Pledgee pursuant to Section 2 of this Agreement, pursuant to which the Pledgee shall be entitled to priority in receiving repayment from the proceeds derived from the conversion into value, auction or sale of the Pledged Partnership Interest.</w:t>
      </w:r>
    </w:p>
    <w:p>
      <w:pPr>
        <w:spacing w:after="0" w:line="176" w:lineRule="exact"/>
        <w:rPr>
          <w:sz w:val="20"/>
          <w:szCs w:val="20"/>
          <w:color w:val="auto"/>
        </w:rPr>
      </w:pPr>
    </w:p>
    <w:p>
      <w:pPr>
        <w:jc w:val="both"/>
        <w:ind w:left="980" w:right="2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“Pledged Partnership Interest” means all partnership interests in Party C currently held or to be held in the future by the Pledgor.</w:t>
      </w:r>
    </w:p>
    <w:p>
      <w:pPr>
        <w:spacing w:after="0" w:line="16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“Pledge Term” means the period set forth in Section 3 of this Agreement.</w:t>
      </w:r>
    </w:p>
    <w:p>
      <w:pPr>
        <w:spacing w:after="0" w:line="225"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“Transaction Documents” means the Exclusive Business Cooperation Agreement entered into between Party C and the Pledgee on [May 1], 2022 (“</w:t>
      </w:r>
      <w:r>
        <w:rPr>
          <w:rFonts w:ascii="Times New Roman" w:cs="Times New Roman" w:eastAsia="Times New Roman" w:hAnsi="Times New Roman"/>
          <w:sz w:val="18"/>
          <w:szCs w:val="18"/>
          <w:b w:val="1"/>
          <w:bCs w:val="1"/>
          <w:color w:val="auto"/>
        </w:rPr>
        <w:t>Exclusive Business Cooperation Agreement</w:t>
      </w:r>
      <w:r>
        <w:rPr>
          <w:rFonts w:ascii="Times New Roman" w:cs="Times New Roman" w:eastAsia="Times New Roman" w:hAnsi="Times New Roman"/>
          <w:sz w:val="18"/>
          <w:szCs w:val="18"/>
          <w:color w:val="auto"/>
        </w:rPr>
        <w:t>”); the Exclusive Option Agreement entered into among the Pledgee, the Pledgor and Party C on [February 20], 2025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the Loan Agreement entered into between the Pledgee and the Pledgor on [February 20], 2025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the Power of Attorney executed by the Pledgor in favor of the Pledgee on [February 20], 2025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xml:space="preserve"> and any amendments, supplements and/or restatements to the foregoing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07" w:name="page608"/>
    <w:bookmarkEnd w:id="607"/>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“Contractual Obligations” means all obligations of the Pledgor under the Exclusive Option Agreement, the Loan Agreement, the Power of Attorney and this Agreement, and all obligations of Party C under the Exclusive Business Cooperation Agreement, the Exclusive Option Agreement and this Agreement.</w:t>
      </w:r>
    </w:p>
    <w:p>
      <w:pPr>
        <w:spacing w:after="0" w:line="176"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“Secured Obligations” means all direct, indirect and consequential losses suffered by the Pledgee arising from any Event of Default of the Pledgor and/or Party C, including any reasonably anticipated loss of profits, the calculation of which shall be based on, including but not limited to, the Pledgee’s reasonable business plan and profit forecast, the service fees payable by Party C under the Exclusive Business Cooperation Agreement, and all expenses incurred by the Pledgee in enforcing the Contractual Obligations of the Pledgor and/or Party C. The amount of the Secured Obligations under this Agreement shall not be less than RMB 50,000,000.</w:t>
      </w:r>
    </w:p>
    <w:p>
      <w:pPr>
        <w:spacing w:after="0" w:line="187"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“Event of Default” means any of the circumstances set forth in Section 7 of this Agreement.</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“Default Notice” means the notice issued by the Pledgee in accordance with this Agreement declaring an Event of Default.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Pledge</w:t>
      </w:r>
    </w:p>
    <w:p>
      <w:pPr>
        <w:spacing w:after="0" w:line="229"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Pledgor hereby agrees to pledge the Pledged Partnership Interest to the Pledgee in accordance with the provisions of this Agreement as security for the performance of the Contractual Obligations and the repayment of the Secured Obligations. Party C hereby agrees to the Pledgor pledging the Pledged Partnership Interest to the Pledgee in accordance with the provisions of this Agreement.</w:t>
      </w:r>
    </w:p>
    <w:p>
      <w:pPr>
        <w:spacing w:after="0" w:line="180" w:lineRule="exact"/>
        <w:rPr>
          <w:sz w:val="20"/>
          <w:szCs w:val="20"/>
          <w:color w:val="auto"/>
        </w:rPr>
      </w:pPr>
    </w:p>
    <w:p>
      <w:pPr>
        <w:jc w:val="both"/>
        <w:ind w:left="980" w:hanging="647"/>
        <w:spacing w:after="0" w:line="258" w:lineRule="auto"/>
        <w:tabs>
          <w:tab w:leader="none" w:pos="9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During the Pledge Term, the Pledgee shall have the right to receive profits generated from the Pledged Partnership Interest. The Pledgor may receive profits in respect of the Pledged Partnership Interest only with the prior written consent of the Pledgee. Any profits received by the Pledgor in connection with the Pledged Partnership Interest, after deduction of applicable individual income tax paid by the Pledgor, shall, at the request of the Pledgee, either: (1) be deposited into an account designated by the Pledgee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08" w:name="page609"/>
    <w:bookmarkEnd w:id="608"/>
    <w:p>
      <w:pPr>
        <w:jc w:val="both"/>
        <w:ind w:left="972"/>
        <w:spacing w:after="0" w:line="266" w:lineRule="auto"/>
        <w:rPr>
          <w:sz w:val="20"/>
          <w:szCs w:val="20"/>
          <w:color w:val="auto"/>
        </w:rPr>
      </w:pPr>
      <w:r>
        <w:rPr>
          <w:rFonts w:ascii="Times New Roman" w:cs="Times New Roman" w:eastAsia="Times New Roman" w:hAnsi="Times New Roman"/>
          <w:sz w:val="18"/>
          <w:szCs w:val="18"/>
          <w:color w:val="auto"/>
        </w:rPr>
        <w:t>and be subject to the supervision of the Pledgee and used as security for the performance of the Contractual Obligations and for priority repayment of the Secured Obligations; or (2) to the extent permitted under PRC laws, be unconditionally gifted to the Pledgee or any Person designated by the Pledgee.</w:t>
      </w:r>
    </w:p>
    <w:p>
      <w:pPr>
        <w:spacing w:after="0" w:line="176" w:lineRule="exact"/>
        <w:rPr>
          <w:sz w:val="20"/>
          <w:szCs w:val="20"/>
          <w:color w:val="auto"/>
        </w:rPr>
      </w:pPr>
    </w:p>
    <w:p>
      <w:pPr>
        <w:jc w:val="both"/>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Pledgor may increase the registered capital of Party C only with the prior written consent of the Pledgee. Any additional capital contribution made by the Pledgor to Party C shall form part of the Pledged Partnership Interest.</w:t>
      </w:r>
    </w:p>
    <w:p>
      <w:pPr>
        <w:spacing w:after="0" w:line="162" w:lineRule="exact"/>
        <w:rPr>
          <w:sz w:val="20"/>
          <w:szCs w:val="20"/>
          <w:color w:val="auto"/>
        </w:rPr>
      </w:pPr>
    </w:p>
    <w:p>
      <w:pPr>
        <w:jc w:val="both"/>
        <w:ind w:left="972" w:hanging="647"/>
        <w:spacing w:after="0" w:line="256" w:lineRule="auto"/>
        <w:tabs>
          <w:tab w:leader="none" w:pos="951"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 the event that Party C is required to be dissolved or liquidated pursuant to mandatory provisions of PRC laws, any distribution received by the Pledgor from Party C upon completion of the lawful dissolution or liquidation of Party C shall, at the request of the Pledgee: (1) be deposited into an account designated by the Pledgee, subject to the supervision of the Pledgee, and used as security for the performance of the Contractual Obligations and for priority repayment of the Secured Obligations; or (2) to the extent permitted under PRC laws, be unconditionally gifted to the Pledgee or any Person designated by the Pledgee.</w:t>
      </w:r>
    </w:p>
    <w:p>
      <w:pPr>
        <w:spacing w:after="0" w:line="183" w:lineRule="exact"/>
        <w:rPr>
          <w:sz w:val="20"/>
          <w:szCs w:val="20"/>
          <w:color w:val="auto"/>
        </w:rPr>
      </w:pPr>
    </w:p>
    <w:p>
      <w:pPr>
        <w:ind w:left="332" w:hanging="332"/>
        <w:spacing w:after="0"/>
        <w:tabs>
          <w:tab w:leader="none" w:pos="332" w:val="left"/>
        </w:tabs>
        <w:numPr>
          <w:ilvl w:val="0"/>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Term</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Pledge shall become effective on the date when this Agreement is executed, and shall remain effective until all Contractual Obligations have been fully performed and all Secured Obligations have been fully satisfied. The Pledgor and Party C shall: (1) within three (3) business days after the execution of this Agreement, register the Pledge in Party C’s register of partners; and (2) after the execution of this Agreement, use its best efforts to apply for registration of the Pledge under this Agreement with the competent authority for business registration (if applicable). The Parties hereby confirm that, for the purpose of completing the registration of the partnership interest pledge, the Parties and the other partners of Party C shall submit this Agreement or a partnership interest pledge agreement reflecting the pledge information under this Agreement in such form as required by the competent authority for business registration at the place where Party C is registered (“Registered Pledge Agreement”). Any matters not specified in the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2" w:right="999" w:bottom="1440" w:gutter="0" w:footer="0" w:header="0"/>
        </w:sectPr>
      </w:pPr>
    </w:p>
    <w:bookmarkStart w:id="609" w:name="page610"/>
    <w:bookmarkEnd w:id="609"/>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Pledge Agreement shall be governed by this Agreement. The Pledgor and Party C shall, in accordance with the PRC laws and the requirements of the competent authority for business registration, submit all necessary documents and complete all necessary procedures to ensure that the Pledge is duly registered as soon as practicable after submission of the application.</w:t>
      </w:r>
    </w:p>
    <w:p>
      <w:pPr>
        <w:spacing w:after="0" w:line="176"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the Pledge Term, if the Pledgor and/or Party C fails to perform the Contractual Obligations or repay the Secured Obligations, the Pledgee shall have the right, but not the obligation, to exercise the Pledge in accordance with this Agreement.</w:t>
      </w:r>
    </w:p>
    <w:p>
      <w:pPr>
        <w:spacing w:after="0" w:line="172" w:lineRule="exact"/>
        <w:rPr>
          <w:sz w:val="20"/>
          <w:szCs w:val="20"/>
          <w:color w:val="auto"/>
        </w:rPr>
      </w:pPr>
    </w:p>
    <w:p>
      <w:pPr>
        <w:ind w:left="340" w:hanging="332"/>
        <w:spacing w:after="0"/>
        <w:tabs>
          <w:tab w:leader="none" w:pos="34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Custody of Certificates Evidencing the Pledge</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4.1During the Pledge Term as stipulated under this Agreement, the Pledgor shall deliver to the Pledgee for custody the capital contribution certificate evidencing its partnership interest in Party C and the register of partners reflecting the record of the Pledge. The Pledgor shall deliver the aforesaid capital contribution certificate and register of partners to the Pledgee within one (1) week after the execution of this Agreement. The Pledgee shall retain custody of such documents throughout the entire Pledge Term as provided under this Agreement.</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Pledgor and Party C</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Pledgor and Party C hereby jointly and severally represent and warrant to Party A as of the date of execution of this Agreement as follows: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5.1The Pledgor is the sole legal and beneficial owner of the Pledged Partnership Interest.</w:t>
      </w:r>
    </w:p>
    <w:p>
      <w:pPr>
        <w:spacing w:after="0" w:line="225" w:lineRule="exact"/>
        <w:rPr>
          <w:rFonts w:ascii="Times New Roman" w:cs="Times New Roman" w:eastAsia="Times New Roman" w:hAnsi="Times New Roman"/>
          <w:sz w:val="18"/>
          <w:szCs w:val="18"/>
          <w:b w:val="1"/>
          <w:bCs w:val="1"/>
          <w:color w:val="auto"/>
        </w:rPr>
      </w:pPr>
    </w:p>
    <w:p>
      <w:pPr>
        <w:ind w:left="98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5.2The Pledgee shall have the right to dispose of and transfer the Pledged Partnership Interest in accordance with the provisions of this Agreement.</w:t>
      </w:r>
    </w:p>
    <w:p>
      <w:pPr>
        <w:spacing w:after="0" w:line="161" w:lineRule="exact"/>
        <w:rPr>
          <w:rFonts w:ascii="Times New Roman" w:cs="Times New Roman" w:eastAsia="Times New Roman" w:hAnsi="Times New Roman"/>
          <w:sz w:val="18"/>
          <w:szCs w:val="18"/>
          <w:b w:val="1"/>
          <w:bCs w:val="1"/>
          <w:color w:val="auto"/>
        </w:rPr>
      </w:pPr>
    </w:p>
    <w:p>
      <w:pPr>
        <w:ind w:left="9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5.3Other than the Pledge created under this Agreement, the Pledgor has not created any other pledge or other Security Interest over the Pledged Partnership Interest. There are no lawsuits, arbitrations, or administrative proceedings pending or, to the knowledge of the Pledgor, threatened against the Pledgor or the Pledged Partnership Interest.</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5.4The Pledgor and Party C have obtained all necessary consents and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10" w:name="page611"/>
    <w:bookmarkEnd w:id="610"/>
    <w:p>
      <w:pPr>
        <w:ind w:left="972"/>
        <w:spacing w:after="0"/>
        <w:rPr>
          <w:sz w:val="20"/>
          <w:szCs w:val="20"/>
          <w:color w:val="auto"/>
        </w:rPr>
      </w:pPr>
      <w:r>
        <w:rPr>
          <w:rFonts w:ascii="Times New Roman" w:cs="Times New Roman" w:eastAsia="Times New Roman" w:hAnsi="Times New Roman"/>
          <w:sz w:val="18"/>
          <w:szCs w:val="18"/>
          <w:color w:val="auto"/>
        </w:rPr>
        <w:t>from third parties and governmental authorities (if required) for the execution, delivery and performance of this Agreement.</w:t>
      </w:r>
    </w:p>
    <w:p>
      <w:pPr>
        <w:spacing w:after="0" w:line="225" w:lineRule="exact"/>
        <w:rPr>
          <w:sz w:val="20"/>
          <w:szCs w:val="20"/>
          <w:color w:val="auto"/>
        </w:rPr>
      </w:pPr>
    </w:p>
    <w:p>
      <w:pPr>
        <w:jc w:val="both"/>
        <w:ind w:left="972" w:right="20"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All documents delivered by the Pledgor to the Pledgee in connection with this Agreement are true, complete, and accurate in all material respects, and do not omit any information that would render any statement therein incorrect or misleading in any respect.</w:t>
      </w:r>
    </w:p>
    <w:p>
      <w:pPr>
        <w:spacing w:after="0" w:line="176" w:lineRule="exact"/>
        <w:rPr>
          <w:sz w:val="20"/>
          <w:szCs w:val="20"/>
          <w:color w:val="auto"/>
        </w:rPr>
      </w:pPr>
    </w:p>
    <w:p>
      <w:pPr>
        <w:jc w:val="both"/>
        <w:ind w:left="972" w:hanging="647"/>
        <w:spacing w:after="0" w:line="256" w:lineRule="auto"/>
        <w:tabs>
          <w:tab w:leader="none" w:pos="951"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The execution, delivery and performance of this Agreement shall not: (i) result in any violation of applicable PRC laws; (ii) conflict with the partnership agreement or other organizational documents of Party C; (iii) result in a breach of, or constitute a default under, any contract or instrument to which the Pledgor or Party C is a party or by which it is bound; (iv) result in a breach of any condition applicable to the grant or continued effectiveness of any license or approval issued to any Party; or (v) result in the suspension, revocation or imposition of additional conditions on any license or approval issued to any Party.</w:t>
      </w:r>
    </w:p>
    <w:p>
      <w:pPr>
        <w:spacing w:after="0" w:line="183" w:lineRule="exact"/>
        <w:rPr>
          <w:sz w:val="20"/>
          <w:szCs w:val="20"/>
          <w:color w:val="auto"/>
        </w:rPr>
      </w:pPr>
    </w:p>
    <w:p>
      <w:pPr>
        <w:ind w:left="332" w:hanging="332"/>
        <w:spacing w:after="0"/>
        <w:tabs>
          <w:tab w:leader="none" w:pos="332"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Pledgor and Party C</w:t>
      </w:r>
    </w:p>
    <w:p>
      <w:pPr>
        <w:spacing w:after="0" w:line="229" w:lineRule="exact"/>
        <w:rPr>
          <w:sz w:val="20"/>
          <w:szCs w:val="20"/>
          <w:color w:val="auto"/>
        </w:rPr>
      </w:pPr>
    </w:p>
    <w:p>
      <w:pPr>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During the term of this Agreement, the Pledgor and Party C hereby jointly and severally covenant to the Pledgee as follows:</w:t>
      </w:r>
    </w:p>
    <w:p>
      <w:pPr>
        <w:spacing w:after="0" w:line="162" w:lineRule="exact"/>
        <w:rPr>
          <w:sz w:val="20"/>
          <w:szCs w:val="20"/>
          <w:color w:val="auto"/>
        </w:rPr>
      </w:pPr>
    </w:p>
    <w:p>
      <w:pPr>
        <w:jc w:val="both"/>
        <w:ind w:left="1612" w:hanging="647"/>
        <w:spacing w:after="0" w:line="266" w:lineRule="auto"/>
        <w:tabs>
          <w:tab w:leader="none" w:pos="1591" w:val="left"/>
        </w:tabs>
        <w:rPr>
          <w:sz w:val="20"/>
          <w:szCs w:val="20"/>
          <w:color w:val="auto"/>
        </w:rPr>
      </w:pPr>
      <w:r>
        <w:rPr>
          <w:rFonts w:ascii="Times New Roman" w:cs="Times New Roman" w:eastAsia="Times New Roman" w:hAnsi="Times New Roman"/>
          <w:sz w:val="18"/>
          <w:szCs w:val="18"/>
          <w:color w:val="auto"/>
        </w:rPr>
        <w:t>6.1.1</w:t>
        <w:tab/>
        <w:t>Except as required for the performance of the Transaction Documents, without the prior written consent of the Pledgee, the Pledgor shall not transfer the Pledged Partnership Interest or any part thereof, nor create or permit the creation of any Security Interest or other encumbrance over the Pledged Partnership Interest.</w:t>
      </w:r>
    </w:p>
    <w:p>
      <w:pPr>
        <w:spacing w:after="0" w:line="176" w:lineRule="exact"/>
        <w:rPr>
          <w:sz w:val="20"/>
          <w:szCs w:val="20"/>
          <w:color w:val="auto"/>
        </w:rPr>
      </w:pPr>
    </w:p>
    <w:p>
      <w:pPr>
        <w:jc w:val="both"/>
        <w:ind w:left="1612" w:hanging="647"/>
        <w:spacing w:after="0" w:line="258" w:lineRule="auto"/>
        <w:tabs>
          <w:tab w:leader="none" w:pos="1591" w:val="left"/>
        </w:tabs>
        <w:rPr>
          <w:sz w:val="20"/>
          <w:szCs w:val="20"/>
          <w:color w:val="auto"/>
        </w:rPr>
      </w:pPr>
      <w:r>
        <w:rPr>
          <w:rFonts w:ascii="Times New Roman" w:cs="Times New Roman" w:eastAsia="Times New Roman" w:hAnsi="Times New Roman"/>
          <w:sz w:val="18"/>
          <w:szCs w:val="18"/>
          <w:color w:val="auto"/>
        </w:rPr>
        <w:t>6.1.2</w:t>
        <w:tab/>
        <w:t>The Pledgor and Party C shall comply with all applicable laws and regulations relating to pledges of rights. Upon receipt of any notice, order or recommendation from any competent authority relating to the Pledge, the Pledgor and Party C shall promptly present such notice, order or recommendation to the Pledgee within five (5) days and shall comply with such notice, order or recommendation, or raise objections and representations with respect thereto upon the reasonable request of, or with the consent of, the Pledgee.</w:t>
      </w:r>
    </w:p>
    <w:p>
      <w:pPr>
        <w:spacing w:after="0" w:line="183" w:lineRule="exact"/>
        <w:rPr>
          <w:sz w:val="20"/>
          <w:szCs w:val="20"/>
          <w:color w:val="auto"/>
        </w:rPr>
      </w:pPr>
    </w:p>
    <w:p>
      <w:pPr>
        <w:ind w:left="972"/>
        <w:spacing w:after="0"/>
        <w:tabs>
          <w:tab w:leader="none" w:pos="1591" w:val="left"/>
        </w:tabs>
        <w:rPr>
          <w:sz w:val="20"/>
          <w:szCs w:val="20"/>
          <w:color w:val="auto"/>
        </w:rPr>
      </w:pPr>
      <w:r>
        <w:rPr>
          <w:rFonts w:ascii="Times New Roman" w:cs="Times New Roman" w:eastAsia="Times New Roman" w:hAnsi="Times New Roman"/>
          <w:sz w:val="18"/>
          <w:szCs w:val="18"/>
          <w:color w:val="auto"/>
        </w:rPr>
        <w:t>6.1.3</w:t>
        <w:tab/>
        <w:t>The Pledgor and Party C shall promptly notify the Pledgee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2" w:right="999" w:bottom="1440" w:gutter="0" w:footer="0" w:header="0"/>
        </w:sectPr>
      </w:pPr>
    </w:p>
    <w:bookmarkStart w:id="611" w:name="page612"/>
    <w:bookmarkEnd w:id="611"/>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event or notice received that may affect the Pledgor’s rights in the Pledged Partnership Interest or any part thereof, or may affect any of the representations, obligations or undertakings of the Pledgor under this Agreement, or may affect the Pledgor’s performance of its obligations under this Agreement.</w:t>
      </w:r>
    </w:p>
    <w:p>
      <w:pPr>
        <w:spacing w:after="0" w:line="176" w:lineRule="exact"/>
        <w:rPr>
          <w:sz w:val="20"/>
          <w:szCs w:val="20"/>
          <w:color w:val="auto"/>
        </w:rPr>
      </w:pPr>
    </w:p>
    <w:p>
      <w:pPr>
        <w:jc w:val="both"/>
        <w:ind w:left="1280" w:right="20" w:hanging="647"/>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6.1.4</w:t>
        <w:tab/>
        <w:t>Party C shall, no later than three (3) months prior to the expiration of its business term, complete the procedures for extension of its business term so as to ensure the continued validity of this Agreement.</w:t>
      </w:r>
    </w:p>
    <w:p>
      <w:pPr>
        <w:spacing w:after="0" w:line="162" w:lineRule="exact"/>
        <w:rPr>
          <w:sz w:val="20"/>
          <w:szCs w:val="20"/>
          <w:color w:val="auto"/>
        </w:rPr>
      </w:pPr>
    </w:p>
    <w:p>
      <w:pPr>
        <w:jc w:val="both"/>
        <w:ind w:left="1280" w:hanging="647"/>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6.1.5</w:t>
        <w:tab/>
        <w:t>Without the prior written consent of the Pledgee, the Pledgor shall not amend or otherwise modify the partnership agreement of Party C, nor take any action that may adversely affect the Pledgee’s rights with respect to the Pledged Partnership Interest or any of its rights under this Agreement.</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Pledgor agrees that the rights of the Pledgee with respect to the Pledge obtained pursuant to this Agreement shall not be interrupted or impaired by the Pledgor, the Pledgor’s heirs, the Pledgor’s authorized representatives or any other Person through any legal proceedings.</w:t>
      </w:r>
    </w:p>
    <w:p>
      <w:pPr>
        <w:spacing w:after="0" w:line="176"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Pledgor hereby undertakes to the Pledgee that, in order to protect or perfect the security created under this Agreement for the Contractual Obligations and the Secured Obligations, the Pledgor shall faithfully execute, and procure other interested parties to execute, all certificates of rights, deeds and/or take, and procure other interested parties to take, all actions as reasonably required by the Pledgee. The Pledgor shall facilitate the exercise of the rights and powers granted to the Pledgee under this Agreement, execute all documents relating to the ownership of the Pledged Partnership Interest with the Pledgee or any Person designated by the Pledgee (whether a natural person or legal entity), and provide to the Pledgee, within a reasonable period, all notices, orders and decisions relating to the Pledge as the Pledgee may reasonably deem necessary.</w:t>
      </w:r>
    </w:p>
    <w:p>
      <w:pPr>
        <w:spacing w:after="0" w:line="192"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Pledgor hereby undertakes to the Pledgee that it shall comply with and perform all representations, warranties, covenants, agreements and conditions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2" w:right="999" w:bottom="1440" w:gutter="0" w:footer="0" w:header="0"/>
        </w:sectPr>
      </w:pPr>
    </w:p>
    <w:bookmarkStart w:id="612" w:name="page613"/>
    <w:bookmarkEnd w:id="612"/>
    <w:p>
      <w:pPr>
        <w:ind w:left="332" w:hanging="332"/>
        <w:spacing w:after="0"/>
        <w:tabs>
          <w:tab w:leader="none" w:pos="332"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Each of the following events shall constitute an Event of Default:</w:t>
      </w:r>
    </w:p>
    <w:p>
      <w:pPr>
        <w:spacing w:after="0" w:line="225" w:lineRule="exact"/>
        <w:rPr>
          <w:rFonts w:ascii="Times New Roman" w:cs="Times New Roman" w:eastAsia="Times New Roman" w:hAnsi="Times New Roman"/>
          <w:sz w:val="18"/>
          <w:szCs w:val="18"/>
          <w:b w:val="1"/>
          <w:bCs w:val="1"/>
          <w:color w:val="auto"/>
        </w:rPr>
      </w:pPr>
    </w:p>
    <w:p>
      <w:pPr>
        <w:ind w:left="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7.1.1   Any breach by the Pledgor of any obligation under any Transaction Document and/or this Agreement;</w:t>
      </w:r>
    </w:p>
    <w:p>
      <w:pPr>
        <w:spacing w:after="0" w:line="225" w:lineRule="exact"/>
        <w:rPr>
          <w:rFonts w:ascii="Times New Roman" w:cs="Times New Roman" w:eastAsia="Times New Roman" w:hAnsi="Times New Roman"/>
          <w:sz w:val="18"/>
          <w:szCs w:val="18"/>
          <w:b w:val="1"/>
          <w:bCs w:val="1"/>
          <w:color w:val="auto"/>
        </w:rPr>
      </w:pPr>
    </w:p>
    <w:p>
      <w:pPr>
        <w:ind w:left="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7.1.2   Any breach by Party C of any obligation under any Transaction Document and/or this Agreement.</w:t>
      </w:r>
    </w:p>
    <w:p>
      <w:pPr>
        <w:spacing w:after="0" w:line="225" w:lineRule="exact"/>
        <w:rPr>
          <w:rFonts w:ascii="Times New Roman" w:cs="Times New Roman" w:eastAsia="Times New Roman" w:hAnsi="Times New Roman"/>
          <w:sz w:val="18"/>
          <w:szCs w:val="18"/>
          <w:b w:val="1"/>
          <w:bCs w:val="1"/>
          <w:color w:val="auto"/>
        </w:rPr>
      </w:pPr>
    </w:p>
    <w:p>
      <w:pPr>
        <w:ind w:left="97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7.2If the Pledgor or Party C becomes aware of or discovers that any event described in Section 7.1 has occurred or may occur, the Pledgor and Party C shall immediately notify the Pledgee in writing.</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7.3Unless any Event of Default under Section 7.1 has been remedied to the satisfaction of the Pledgee within twenty (20) days after the Pledgee has issued a notice requiring remedy of such breach to the Pledgor and/or Party C, the Pledgee may, at any time thereafter, subject to Section 8.1, issue a written Default Notice to the Pledgor and require the exercise of the Pledge in accordance with Section 8.</w:t>
      </w:r>
    </w:p>
    <w:p>
      <w:pPr>
        <w:spacing w:after="0" w:line="17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the Pledge</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8.1Notwithstanding any provision to the contrary in this Agreement, any Transaction Document or any other agreement entered into among the Pledgee, the Pledgor and/or Party C, the Pledgee shall not enforce the Pledge under this Agreement unless the Pledgee simultaneously enforces all pledges or other Security Interests granted to the Pledgee by the other partners of Party C over the partnership interests held by such other partners in Party C pursuant to other partnership interest pledge agreements; provided, however, that where the Pledgor breaches any obligation under any Transaction Document and/or this Agreement, the Pledgee’s exercise of the Pledge shall not be subject to the limitation under this Section 8.1.</w:t>
      </w:r>
    </w:p>
    <w:p>
      <w:pPr>
        <w:spacing w:after="0" w:line="188"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7"/>
          <w:szCs w:val="17"/>
          <w:color w:val="auto"/>
        </w:rPr>
        <w:t>When exercising the Pledge, the Pledgee shall issue a written Default Notice to the Pledgor.</w:t>
      </w:r>
    </w:p>
    <w:p>
      <w:pPr>
        <w:spacing w:after="0" w:line="225" w:lineRule="exact"/>
        <w:rPr>
          <w:rFonts w:ascii="Times New Roman" w:cs="Times New Roman" w:eastAsia="Times New Roman" w:hAnsi="Times New Roman"/>
          <w:sz w:val="18"/>
          <w:szCs w:val="18"/>
          <w:b w:val="1"/>
          <w:bCs w:val="1"/>
          <w:color w:val="auto"/>
        </w:rPr>
      </w:pPr>
    </w:p>
    <w:p>
      <w:pPr>
        <w:ind w:left="97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8.3Subject to Sections 7.3 and 8.1, the Pledgee may, at any time after issuing the Default Notice in accordance with Section 8.2, exercise the right to dispose of the Pledge. Upon the Pledgee’s decision to exercise its right to dispose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613" w:name="page614"/>
    <w:bookmarkEnd w:id="613"/>
    <w:p>
      <w:pPr>
        <w:jc w:val="center"/>
        <w:ind w:right="-31"/>
        <w:spacing w:after="0"/>
        <w:rPr>
          <w:sz w:val="20"/>
          <w:szCs w:val="20"/>
          <w:color w:val="auto"/>
        </w:rPr>
      </w:pPr>
      <w:r>
        <w:rPr>
          <w:rFonts w:ascii="Times New Roman" w:cs="Times New Roman" w:eastAsia="Times New Roman" w:hAnsi="Times New Roman"/>
          <w:sz w:val="18"/>
          <w:szCs w:val="18"/>
          <w:color w:val="auto"/>
        </w:rPr>
        <w:t>Pledge, the Pledgor shall no longer have any rights or interests with respect to the Pledged Partnership Interest.</w:t>
      </w:r>
    </w:p>
    <w:p>
      <w:pPr>
        <w:spacing w:after="0" w:line="225" w:lineRule="exact"/>
        <w:rPr>
          <w:sz w:val="20"/>
          <w:szCs w:val="20"/>
          <w:color w:val="auto"/>
        </w:rPr>
      </w:pPr>
    </w:p>
    <w:p>
      <w:pPr>
        <w:jc w:val="both"/>
        <w:ind w:left="972" w:hanging="647"/>
        <w:spacing w:after="0" w:line="261" w:lineRule="auto"/>
        <w:tabs>
          <w:tab w:leader="none" w:pos="951"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After issuing the Default Notice in accordance with Section 8.2, the Pledgee shall have the right to exercise all remedies available to it under PRC laws, the Transaction Documents and this Agreement, including, without limitation, obtaining priority repayment from the proceeds derived from conversion into value, auction or sale of the Pledged Partnership Interest. The Pledgee shall not be liable for any loss arising from its reasonable exercise of such rights and powers.</w:t>
      </w:r>
    </w:p>
    <w:p>
      <w:pPr>
        <w:spacing w:after="0" w:line="180" w:lineRule="exact"/>
        <w:rPr>
          <w:sz w:val="20"/>
          <w:szCs w:val="20"/>
          <w:color w:val="auto"/>
        </w:rPr>
      </w:pPr>
    </w:p>
    <w:p>
      <w:pPr>
        <w:jc w:val="both"/>
        <w:ind w:left="972" w:hanging="647"/>
        <w:spacing w:after="0" w:line="255" w:lineRule="auto"/>
        <w:tabs>
          <w:tab w:leader="none" w:pos="951"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Any proceeds obtained by the Pledgee from the enforcement of the Pledge shall first be used to pay any taxes and expenses payable as a result of the disposal of the Pledged Partnership Interest and to perform the Contractual Obligations and repay the Secured Obligations owed to the Pledgee. Any remaining balance after deduction of the foregoing amounts shall be returned to the Pledgor or any other Person entitled thereto under applicable laws and regulations, or deposited with a notary office at the place where the Pledgor is located (any expenses arising therefrom shall be borne by the Pledgor). To the extent permitted under PRC laws, the Pledgor shall unconditionally gift such remaining balance to the Pledgee or any Person designated by the Pledgee.</w:t>
      </w:r>
    </w:p>
    <w:p>
      <w:pPr>
        <w:spacing w:after="0" w:line="189" w:lineRule="exact"/>
        <w:rPr>
          <w:sz w:val="20"/>
          <w:szCs w:val="20"/>
          <w:color w:val="auto"/>
        </w:rPr>
      </w:pPr>
    </w:p>
    <w:p>
      <w:pPr>
        <w:jc w:val="both"/>
        <w:ind w:left="972" w:hanging="647"/>
        <w:spacing w:after="0" w:line="261" w:lineRule="auto"/>
        <w:tabs>
          <w:tab w:leader="none" w:pos="951"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Subject to Section 8.1, the Pledgee shall have the right to exercise any of its remedies for breach either simultaneously or sequentially. The Pledgee shall not be required to first exercise any other remedy before exercising its right to priority repayment from the proceeds derived from conversion into value, auction or sale of the Pledged Partnership Interest under this Agreement.</w:t>
      </w:r>
    </w:p>
    <w:p>
      <w:pPr>
        <w:spacing w:after="0" w:line="180" w:lineRule="exact"/>
        <w:rPr>
          <w:sz w:val="20"/>
          <w:szCs w:val="20"/>
          <w:color w:val="auto"/>
        </w:rPr>
      </w:pPr>
    </w:p>
    <w:p>
      <w:pPr>
        <w:jc w:val="both"/>
        <w:ind w:left="972"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Pledgee shall have the right to designate its attorneys or other agents in writing to exercise the Pledge on its behalf, and the Pledgor and Party C shall raise no objection thereto.</w:t>
      </w:r>
    </w:p>
    <w:p>
      <w:pPr>
        <w:spacing w:after="0" w:line="162" w:lineRule="exact"/>
        <w:rPr>
          <w:sz w:val="20"/>
          <w:szCs w:val="20"/>
          <w:color w:val="auto"/>
        </w:rPr>
      </w:pPr>
    </w:p>
    <w:p>
      <w:pPr>
        <w:jc w:val="both"/>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When disposing of the Pledge in accordance with this Agreement, the Pledgor and Party C shall provide all necessary assistance to enable the Pledgee to realize its rights under the Pledge.</w:t>
      </w:r>
    </w:p>
    <w:p>
      <w:pPr>
        <w:spacing w:after="0" w:line="158" w:lineRule="exact"/>
        <w:rPr>
          <w:sz w:val="20"/>
          <w:szCs w:val="20"/>
          <w:color w:val="auto"/>
        </w:rPr>
      </w:pPr>
    </w:p>
    <w:p>
      <w:pPr>
        <w:ind w:left="332" w:hanging="332"/>
        <w:spacing w:after="0"/>
        <w:tabs>
          <w:tab w:leader="none" w:pos="332"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7"/>
          <w:szCs w:val="17"/>
          <w:color w:val="auto"/>
        </w:rPr>
        <w:t>Subject to Section 9.3, if the Pledgor or Party C materially breaches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2" w:right="999" w:bottom="1440" w:gutter="0" w:footer="0" w:header="0"/>
        </w:sectPr>
      </w:pPr>
    </w:p>
    <w:bookmarkStart w:id="614" w:name="page615"/>
    <w:bookmarkEnd w:id="614"/>
    <w:p>
      <w:pPr>
        <w:jc w:val="both"/>
        <w:ind w:left="972"/>
        <w:spacing w:after="0" w:line="266" w:lineRule="auto"/>
        <w:rPr>
          <w:sz w:val="20"/>
          <w:szCs w:val="20"/>
          <w:color w:val="auto"/>
        </w:rPr>
      </w:pPr>
      <w:r>
        <w:rPr>
          <w:rFonts w:ascii="Times New Roman" w:cs="Times New Roman" w:eastAsia="Times New Roman" w:hAnsi="Times New Roman"/>
          <w:sz w:val="18"/>
          <w:szCs w:val="18"/>
          <w:color w:val="auto"/>
        </w:rPr>
        <w:t>provision of this Agreement, the Pledgee shall have the right to terminate this Agreement and/or require the breaching party to compensate for damages. Subject to Section 9.3, this Section 9 shall not prejudice any other rights of the Pledgee under this Agreement.</w:t>
      </w:r>
    </w:p>
    <w:p>
      <w:pPr>
        <w:spacing w:after="0" w:line="176" w:lineRule="exact"/>
        <w:rPr>
          <w:sz w:val="20"/>
          <w:szCs w:val="20"/>
          <w:color w:val="auto"/>
        </w:rPr>
      </w:pPr>
    </w:p>
    <w:p>
      <w:pPr>
        <w:jc w:val="both"/>
        <w:ind w:left="972" w:right="20" w:hanging="647"/>
        <w:spacing w:after="0" w:line="282" w:lineRule="auto"/>
        <w:tabs>
          <w:tab w:leader="none" w:pos="951"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Except as otherwise required by applicable laws, the Pledgor or Party C shall not have any right to terminate or rescind this Agreement under any circumstances.</w:t>
      </w:r>
    </w:p>
    <w:p>
      <w:pPr>
        <w:spacing w:after="0" w:line="162" w:lineRule="exact"/>
        <w:rPr>
          <w:sz w:val="20"/>
          <w:szCs w:val="20"/>
          <w:color w:val="auto"/>
        </w:rPr>
      </w:pPr>
    </w:p>
    <w:p>
      <w:pPr>
        <w:jc w:val="both"/>
        <w:ind w:left="972" w:hanging="647"/>
        <w:spacing w:after="0" w:line="266" w:lineRule="auto"/>
        <w:tabs>
          <w:tab w:leader="none" w:pos="951"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If the Pledgor breaches any representation, warranty, covenant, agreement, or condition under this Agreement or any other Transaction Document, the Pledgee shall have the right to exercise the Pledge over the partnership Interest in Party C held by the Pledgor in accordance with Article 8 of this Agreement.</w:t>
      </w:r>
    </w:p>
    <w:p>
      <w:pPr>
        <w:spacing w:after="0" w:line="172" w:lineRule="exact"/>
        <w:rPr>
          <w:sz w:val="20"/>
          <w:szCs w:val="20"/>
          <w:color w:val="auto"/>
        </w:rPr>
      </w:pPr>
    </w:p>
    <w:p>
      <w:pPr>
        <w:ind w:left="332" w:hanging="332"/>
        <w:spacing w:after="0"/>
        <w:tabs>
          <w:tab w:leader="none" w:pos="332" w:val="left"/>
        </w:tabs>
        <w:numPr>
          <w:ilvl w:val="0"/>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Without the prior written consent of the Pledgee, the Pledgor and Party C shall not assign or transfer any of their rights or obligations under this Agreement by way of gift or otherwise.</w:t>
      </w:r>
    </w:p>
    <w:p>
      <w:pPr>
        <w:spacing w:after="0" w:line="161" w:lineRule="exact"/>
        <w:rPr>
          <w:rFonts w:ascii="Times New Roman" w:cs="Times New Roman" w:eastAsia="Times New Roman" w:hAnsi="Times New Roman"/>
          <w:sz w:val="18"/>
          <w:szCs w:val="18"/>
          <w:b w:val="1"/>
          <w:bCs w:val="1"/>
          <w:color w:val="auto"/>
        </w:rPr>
      </w:pPr>
    </w:p>
    <w:p>
      <w:pPr>
        <w:ind w:left="972"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This Agreement shall be binding upon the Pledgor and its successors and permitted assigns, and shall inure to the benefit of the Pledgee and each of its successors and assigns.</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The Pledgee may, at any time, assign all or any of its rights and obligations under the Transaction Documents and this Agreement to any Person designated by it, in which case the assignee shall enjoy and assume the rights and obligations of the Pledgee under the Transaction Documents and this Agreement as if it were an original party hereto.</w:t>
      </w:r>
    </w:p>
    <w:p>
      <w:pPr>
        <w:spacing w:after="0" w:line="175" w:lineRule="exact"/>
        <w:rPr>
          <w:rFonts w:ascii="Times New Roman" w:cs="Times New Roman" w:eastAsia="Times New Roman" w:hAnsi="Times New Roman"/>
          <w:sz w:val="18"/>
          <w:szCs w:val="18"/>
          <w:b w:val="1"/>
          <w:bCs w:val="1"/>
          <w:color w:val="auto"/>
        </w:rPr>
      </w:pPr>
    </w:p>
    <w:p>
      <w:pPr>
        <w:ind w:left="97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10.4 Upon any change of the Pledgee resulting from an assignment, the Pledgor and/or Party C shall, at the request of the Pledgee, enter into a new equity pledge agreement with the new pledgee on terms substantially identical to those of this Agreement and complete the relevant registration with the competent authority for business registration.</w:t>
      </w:r>
    </w:p>
    <w:p>
      <w:pPr>
        <w:spacing w:after="0" w:line="175"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10.5 The Pledgor and Party C shall strictly comply with the provisions of this Agreement and other agreements entered into individually or jointly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2" w:right="999" w:bottom="1440" w:gutter="0" w:footer="0" w:header="0"/>
        </w:sectPr>
      </w:pPr>
    </w:p>
    <w:bookmarkStart w:id="615" w:name="page616"/>
    <w:bookmarkEnd w:id="615"/>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Parties, including the Transaction Documents, perform their obligations under the Transaction Documents, and shall not take or omit to take any action that may affect the validity or enforceability of such agreements. Unless otherwise instructed in writing by the Pledgee, the Pledgor shall not exercise any rights remaining in the Pledged Partnership Interest.</w:t>
      </w:r>
    </w:p>
    <w:p>
      <w:pPr>
        <w:spacing w:after="0" w:line="172" w:lineRule="exact"/>
        <w:rPr>
          <w:sz w:val="20"/>
          <w:szCs w:val="20"/>
          <w:color w:val="auto"/>
        </w:rPr>
      </w:pPr>
    </w:p>
    <w:p>
      <w:pPr>
        <w:ind w:left="340" w:hanging="332"/>
        <w:spacing w:after="0"/>
        <w:tabs>
          <w:tab w:leader="none" w:pos="34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11.1After the Pledgor and Party C have fully performed all Contractual Obligations and fully repaid all Secured Obligations, the Pledgee shall, upon the request of the Pledgor, release the Pledge over the Pledged Partnership Interest under this Agreement as soon as reasonably practicable and cooperate with the Pledgor in completing the deregistration of the equity pledge recorded in Party C’s register of partners and the deregistration of the Pledge with the competent authority for business registration.</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7"/>
          <w:szCs w:val="17"/>
          <w:color w:val="auto"/>
        </w:rPr>
        <w:t>The provisions of Sections 9, 13, 14 and this Section 11.2 shall survive the termination of this Agreement.</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Other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costs and actual expenses incurred in connection with this Agreement, including but not limited to legal fees, production costs, stamp duty and any other taxes and expenses, shall be borne by Party C.</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this Agreement, the contents hereof, and any oral or written information exchanged among the Parties in connection with the preparation or performance of this Agreement shall constitute Confidential Information. Each Party shall maintain the confidentiality of all such Confidential Information and shall not disclose any Confidential Information to any third party without the prior written consent of the other Parties, except for: (a) any information that is or will become publicly available other than through unauthorized disclosure by the receiving Party; (b) any information required to be disclosed pursuant to applicable laws, stock exchange rules, or orders of governmental authorities or courts; or (c) any information disclosed by any Party to its shareholders, partners, directors, employees, legal or financial advisors in connection with the transactions contemplated under this Agreement,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16" w:name="page617"/>
    <w:bookmarkEnd w:id="616"/>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such persons shall be subject to confidentiality obligations substantially similar to those set forth herein. Any breach of confidentiality by a Party’s shareholders, partners, directors, employees or engaged institutions shall be deemed a breach by such Party, which shall bear liability for breach in accordance with this Agreement.</w:t>
      </w:r>
    </w:p>
    <w:p>
      <w:pPr>
        <w:spacing w:after="0" w:line="172" w:lineRule="exact"/>
        <w:rPr>
          <w:sz w:val="20"/>
          <w:szCs w:val="20"/>
          <w:color w:val="auto"/>
        </w:rPr>
      </w:pPr>
    </w:p>
    <w:p>
      <w:pPr>
        <w:ind w:left="332" w:hanging="332"/>
        <w:spacing w:after="0"/>
        <w:tabs>
          <w:tab w:leader="none" w:pos="332"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The execution, validity, interpretation, performance, amendment and termination of this Agreement and the resolution of any disputes hereunder shall be governed by the PRC laws.</w:t>
      </w:r>
    </w:p>
    <w:p>
      <w:pPr>
        <w:spacing w:after="0" w:line="161" w:lineRule="exact"/>
        <w:rPr>
          <w:rFonts w:ascii="Times New Roman" w:cs="Times New Roman" w:eastAsia="Times New Roman" w:hAnsi="Times New Roman"/>
          <w:sz w:val="18"/>
          <w:szCs w:val="18"/>
          <w:b w:val="1"/>
          <w:bCs w:val="1"/>
          <w:color w:val="auto"/>
        </w:rPr>
      </w:pPr>
    </w:p>
    <w:p>
      <w:pPr>
        <w:ind w:left="97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Any dispute arising from the interpretation or performance of this Agreement shall first be resolved through friendly consultation among the Parties. If the dispute cannot be resolved within thirty (30) days after one Party delivers a written notice requesting consultation, any Party may submit such dispute to the China International Economic and Trade Arbitration Commission (“CIETAC”) for arbitration in accordance with its arbitration rules. The arbitration shall be conducted in Shenzhen, and the language of arbitration shall be Chinese. The arbitral award shall be final and binding upon the Parties.</w:t>
      </w:r>
    </w:p>
    <w:p>
      <w:pPr>
        <w:spacing w:after="0" w:line="187" w:lineRule="exact"/>
        <w:rPr>
          <w:rFonts w:ascii="Times New Roman" w:cs="Times New Roman" w:eastAsia="Times New Roman" w:hAnsi="Times New Roman"/>
          <w:sz w:val="18"/>
          <w:szCs w:val="18"/>
          <w:b w:val="1"/>
          <w:bCs w:val="1"/>
          <w:color w:val="auto"/>
        </w:rPr>
      </w:pPr>
    </w:p>
    <w:p>
      <w:pPr>
        <w:ind w:left="97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14.3 During the resolution of any dispute arising from the interpretation or performance of this Agreement, except for the matters in dispute, the Parties shall continue to exercise their respective rights and perform their respective obligations under this Agreement.</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97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 All notices and other communications required or permitted under this Agreement shall be delivered by hand, by registered mail (postage prepaid), by commercial courier service, or by facsimile to the addresses set forth below. Each notice shall also be delivered by email. The effective date of delivery shall be determined as follows:</w:t>
      </w:r>
    </w:p>
    <w:p>
      <w:pPr>
        <w:spacing w:after="0" w:line="175"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15.2 If delivered by hand, courier service or registered mail (postage prepaid), the date of receipt or rejection at the designated address shall be deemed the effective delivery date.</w:t>
      </w:r>
    </w:p>
    <w:p>
      <w:pPr>
        <w:spacing w:after="0" w:line="16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15.3    If delivered by facsimile, the date of successful transmission (as evidenced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2" w:right="999" w:bottom="1440" w:gutter="0" w:footer="0" w:header="0"/>
        </w:sectPr>
      </w:pPr>
    </w:p>
    <w:bookmarkStart w:id="617" w:name="page618"/>
    <w:bookmarkEnd w:id="617"/>
    <w:p>
      <w:pPr>
        <w:ind w:left="972"/>
        <w:spacing w:after="0"/>
        <w:rPr>
          <w:sz w:val="20"/>
          <w:szCs w:val="20"/>
          <w:color w:val="auto"/>
        </w:rPr>
      </w:pPr>
      <w:r>
        <w:rPr>
          <w:rFonts w:ascii="Times New Roman" w:cs="Times New Roman" w:eastAsia="Times New Roman" w:hAnsi="Times New Roman"/>
          <w:sz w:val="18"/>
          <w:szCs w:val="18"/>
          <w:color w:val="auto"/>
        </w:rPr>
        <w:t>the automatically generated transmission confirmation) shall be deemed the effective delivery date.</w:t>
      </w:r>
    </w:p>
    <w:p>
      <w:pPr>
        <w:spacing w:after="0" w:line="221" w:lineRule="exact"/>
        <w:rPr>
          <w:sz w:val="20"/>
          <w:szCs w:val="20"/>
          <w:color w:val="auto"/>
        </w:rPr>
      </w:pPr>
    </w:p>
    <w:p>
      <w:pPr>
        <w:ind w:left="332" w:hanging="332"/>
        <w:spacing w:after="0"/>
        <w:tabs>
          <w:tab w:leader="none" w:pos="332"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held invalid, illegal or unenforceable in any respect under any law or regulation, the validity, legality and enforceability of the remaining provisions shall not be affected or impaired in any way. The Parties shall, through good faith consultation, replace such invalid, illegal or unenforceable provision with a valid provision to the maximum extent permitted by law that most closely achieves the intended economic effect of the invalid, illegal or unenforceable provision.</w:t>
      </w:r>
    </w:p>
    <w:p>
      <w:pPr>
        <w:spacing w:after="0" w:line="17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Annexes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annexes attached hereto shall form an integral part of this Agreement.</w:t>
      </w:r>
    </w:p>
    <w:p>
      <w:pPr>
        <w:spacing w:after="0" w:line="22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This Agreement shall become effective upon execution by all Parties.</w:t>
      </w:r>
    </w:p>
    <w:p>
      <w:pPr>
        <w:spacing w:after="0" w:line="225" w:lineRule="exact"/>
        <w:rPr>
          <w:rFonts w:ascii="Times New Roman" w:cs="Times New Roman" w:eastAsia="Times New Roman" w:hAnsi="Times New Roman"/>
          <w:sz w:val="18"/>
          <w:szCs w:val="18"/>
          <w:b w:val="1"/>
          <w:bCs w:val="1"/>
          <w:color w:val="auto"/>
        </w:rPr>
      </w:pPr>
    </w:p>
    <w:p>
      <w:pPr>
        <w:ind w:left="97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18.2 Any amendment, supplement or modification to this Agreement shall be made in writing, signed or sealed by the Parties and registered with the relevant governmental authority (if required) before becoming effective.</w:t>
      </w:r>
    </w:p>
    <w:p>
      <w:pPr>
        <w:spacing w:after="0" w:line="15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 and Counterparts</w:t>
      </w:r>
    </w:p>
    <w:p>
      <w:pPr>
        <w:spacing w:after="0" w:line="229" w:lineRule="exact"/>
        <w:rPr>
          <w:sz w:val="20"/>
          <w:szCs w:val="20"/>
          <w:color w:val="auto"/>
        </w:rPr>
      </w:pPr>
    </w:p>
    <w:p>
      <w:pPr>
        <w:ind w:left="332" w:right="20"/>
        <w:spacing w:after="0" w:line="282" w:lineRule="auto"/>
        <w:rPr>
          <w:sz w:val="20"/>
          <w:szCs w:val="20"/>
          <w:color w:val="auto"/>
        </w:rPr>
      </w:pPr>
      <w:r>
        <w:rPr>
          <w:rFonts w:ascii="Times New Roman" w:cs="Times New Roman" w:eastAsia="Times New Roman" w:hAnsi="Times New Roman"/>
          <w:sz w:val="18"/>
          <w:szCs w:val="18"/>
          <w:color w:val="auto"/>
        </w:rPr>
        <w:t>This Agreement is executed in four (4) originals. The Pledgee, the Pledgor and Party C shall each hold one original, and the remaining original shall be used for registration purposes. Each original shall have equal legal effect.</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(No further text.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2" w:right="999" w:bottom="1440" w:gutter="0" w:footer="0" w:header="0"/>
        </w:sectPr>
      </w:pPr>
    </w:p>
    <w:bookmarkStart w:id="618" w:name="page619"/>
    <w:bookmarkEnd w:id="61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Partnership Interest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Name:Wu Kening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2" w:right="1019" w:bottom="1440" w:gutter="0" w:footer="0" w:header="0"/>
        </w:sectPr>
      </w:pPr>
    </w:p>
    <w:bookmarkStart w:id="619" w:name="page620"/>
    <w:bookmarkEnd w:id="61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Partnership Interest Pledge Agreement to be duly executed by their authorized representatives as of the date first written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2" w:right="1019" w:bottom="1440" w:gutter="0" w:footer="0" w:header="0"/>
        </w:sectPr>
      </w:pPr>
    </w:p>
    <w:bookmarkStart w:id="620" w:name="page621"/>
    <w:bookmarkEnd w:id="62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Partnership Interest Pledge Agreement to be duly executed by their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Zhiyi Wensi Consulting Partnership (Limited Partnership)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Name:Wu Kening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Representative of Executive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2" w:right="101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color w:val="auto"/>
        </w:rPr>
        <w:t>Annexes: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Register of Partners of Party C;</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Annex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360045</wp:posOffset>
            </wp:positionV>
            <wp:extent cx="6292215" cy="260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99"/>
          </w:cols>
          <w:pgMar w:left="1260" w:top="118" w:right="1440" w:bottom="1440" w:gutter="0" w:footer="0" w:header="0"/>
        </w:sectPr>
      </w:pPr>
    </w:p>
    <w:bookmarkStart w:id="622" w:name="page623"/>
    <w:bookmarkEnd w:id="622"/>
    <w:p>
      <w:pPr>
        <w:jc w:val="right"/>
        <w:spacing w:after="0"/>
        <w:rPr>
          <w:sz w:val="20"/>
          <w:szCs w:val="20"/>
          <w:color w:val="auto"/>
        </w:rPr>
      </w:pPr>
      <w:r>
        <w:rPr>
          <w:rFonts w:ascii="Times New Roman" w:cs="Times New Roman" w:eastAsia="Times New Roman" w:hAnsi="Times New Roman"/>
          <w:sz w:val="18"/>
          <w:szCs w:val="18"/>
          <w:b w:val="1"/>
          <w:bCs w:val="1"/>
          <w:color w:val="auto"/>
        </w:rPr>
        <w:t>Exhibit 4.46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Wu Kening</w:t>
      </w:r>
      <w:r>
        <w:rPr>
          <w:rFonts w:ascii="Times New Roman" w:cs="Times New Roman" w:eastAsia="Times New Roman" w:hAnsi="Times New Roman"/>
          <w:sz w:val="18"/>
          <w:szCs w:val="18"/>
          <w:color w:val="auto"/>
        </w:rPr>
        <w:t>, a PRC citizen with ID No. ******************, hold [60]% of the equity interest in Shenzhen Zhilue Xinsi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Co., Ltd. (“</w:t>
      </w:r>
      <w:r>
        <w:rPr>
          <w:rFonts w:ascii="Times New Roman" w:cs="Times New Roman" w:eastAsia="Times New Roman" w:hAnsi="Times New Roman"/>
          <w:sz w:val="18"/>
          <w:szCs w:val="18"/>
          <w:b w:val="1"/>
          <w:bCs w:val="1"/>
          <w:color w:val="auto"/>
        </w:rPr>
        <w:t>Xinsi”) as of the date of this Power of Attorney.</w:t>
      </w:r>
      <w:r>
        <w:rPr>
          <w:rFonts w:ascii="Times New Roman" w:cs="Times New Roman" w:eastAsia="Times New Roman" w:hAnsi="Times New Roman"/>
          <w:sz w:val="18"/>
          <w:szCs w:val="18"/>
          <w:color w:val="auto"/>
        </w:rPr>
        <w:t xml:space="preserve"> With respect to the equity interests currently held or to be held in the future by me in Xinsi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I hereby irrevocably appoint Xunlei Computer (Shenzhen) Co., Ltd.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to exercise, during the term of this Power of Attorney, the following rights: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 hereby authorize the WFOE as my sole and exclusive proxy to exercise all rights relating to the Equity Interests on my behalf, including, without limitation: 1) attending shareholders’ meetings of Xinsi; 2) exercising all shareholder rights and voting rights to which I am entitled under applicable law and the articles of association of Xinsi, including without limitation the right to sell, transfer, pledge, or otherwise dispose of all or any portion of the Equity Interests, and amend the articles of association of Xinsi; and 3) designating and appointing the directors and supervisors of Xinsi.</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WFOE shall have the right to execute, on my behalf, all documents required to be executed by me under the Exclusive Option Agreement entered into by and among me, the WFOE, and Xinsi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February 27], 2025, the Equity Pledge Agreement entered into by and among me, the WFOE, and Xinsi on [February 27], 2025, and the Loan Agreement entered into by and between me and the WFOE on [February 27], 2025 (including any amendments, supplements, or restatements thereof, collectively,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and to perform my obligations under the Transaction Documents in a timely manner. The exercise of such rights shall not constitute any limitation on the authority granted under this Power of Attorney.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act carried out by the WFOE in relation to the Equity Interests shall be deemed an act of me, and any document executed by the WFOE shall be deemed executed by me. I hereby acknowledge and agree to all such acts and documents.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WFOE shall have the right to further delegate or sub-delegate the authority granted hereunder to any other person or entity without prior notice to or consent from me. Where required under the PRC laws, the WFOE shall designate a PRC citizen to exercise the foregoing rights.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Power of Attorney shall remain irrevocable and continuously valid for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color w:val="auto"/>
        </w:rPr>
        <w:t>long as I remain a shareholder of Xinsi, commencing on the date of execution hereof.</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term of this Power of Attorney, I hereby waive all rights relating to the Equity Interests that have been authorized to the WFOE hereunder, and shall not exercise such rights independently.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This Power of Attorney is executed as of </w:t>
      </w:r>
      <w:r>
        <w:rPr>
          <w:rFonts w:ascii="Times New Roman" w:cs="Times New Roman" w:eastAsia="Times New Roman" w:hAnsi="Times New Roman"/>
          <w:sz w:val="18"/>
          <w:szCs w:val="18"/>
          <w:u w:val="single" w:color="auto"/>
          <w:color w:val="auto"/>
        </w:rPr>
        <w:t>February 27, 2025</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 text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24" w:name="page625"/>
    <w:bookmarkEnd w:id="624"/>
    <w:p>
      <w:pPr>
        <w:jc w:val="right"/>
        <w:ind w:right="35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29"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By: /s/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Name:Kening Wu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2" w:right="1440" w:bottom="1440" w:gutter="0" w:footer="0" w:header="0"/>
        </w:sectPr>
      </w:pPr>
    </w:p>
    <w:bookmarkStart w:id="625" w:name="page626"/>
    <w:bookmarkEnd w:id="625"/>
    <w:p>
      <w:pPr>
        <w:jc w:val="right"/>
        <w:spacing w:after="0"/>
        <w:rPr>
          <w:sz w:val="20"/>
          <w:szCs w:val="20"/>
          <w:color w:val="auto"/>
        </w:rPr>
      </w:pPr>
      <w:r>
        <w:rPr>
          <w:rFonts w:ascii="Times New Roman" w:cs="Times New Roman" w:eastAsia="Times New Roman" w:hAnsi="Times New Roman"/>
          <w:sz w:val="18"/>
          <w:szCs w:val="18"/>
          <w:b w:val="1"/>
          <w:bCs w:val="1"/>
          <w:color w:val="auto"/>
        </w:rPr>
        <w:t>Exhibit 4.47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Li Xiaosong</w:t>
      </w:r>
      <w:r>
        <w:rPr>
          <w:rFonts w:ascii="Times New Roman" w:cs="Times New Roman" w:eastAsia="Times New Roman" w:hAnsi="Times New Roman"/>
          <w:sz w:val="18"/>
          <w:szCs w:val="18"/>
          <w:color w:val="auto"/>
        </w:rPr>
        <w:t>, a PRC citizen with ID No. ******************, hold [40]% of the equity interest in Shenzhen Zhilue Xinsi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Co., Ltd. (“</w:t>
      </w:r>
      <w:r>
        <w:rPr>
          <w:rFonts w:ascii="Times New Roman" w:cs="Times New Roman" w:eastAsia="Times New Roman" w:hAnsi="Times New Roman"/>
          <w:sz w:val="18"/>
          <w:szCs w:val="18"/>
          <w:b w:val="1"/>
          <w:bCs w:val="1"/>
          <w:color w:val="auto"/>
        </w:rPr>
        <w:t>Xinsi”) as of the date of this Power of Attorney.</w:t>
      </w:r>
      <w:r>
        <w:rPr>
          <w:rFonts w:ascii="Times New Roman" w:cs="Times New Roman" w:eastAsia="Times New Roman" w:hAnsi="Times New Roman"/>
          <w:sz w:val="18"/>
          <w:szCs w:val="18"/>
          <w:color w:val="auto"/>
        </w:rPr>
        <w:t xml:space="preserve"> With respect to the equity interests currently held or to be held in the future by me in Xinsi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I hereby irrevocably appoint Xunlei Computer (Shenzhen) Co., Ltd.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to exercise, during the term of this Power of Attorney, the following rights: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 hereby authorize the WFOE as my sole and exclusive proxy to exercise all rights relating to the Equity Interests on my behalf, including, without limitation: 1) attending shareholders’ meetings of Xinsi; 2) exercising all shareholder rights and voting rights to which I am entitled under applicable law and the articles of association of Xinsi, including without limitation the right to sell, transfer, pledge, or otherwise dispose of all or any portion of the Equity Interests, and amend the articles of association of Xinsi; and 3) designating and appointing the directors and supervisors of Xinsi.</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WFOE shall have the right to execute, on my behalf, all documents required to be executed by me under the Exclusive Option Agreement entered into by and among me, the WFOE, and Xinsi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February 27], 2025, the Equity Pledge Agreement entered into by and among me, the WFOE, and Xinsi on [February 27], 2025, and the Loan Agreement entered into by and between me and the WFOE on [February 27], 2025 (including any amendments, supplements, or restatements thereof, collectively,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and to perform my obligations under the Transaction Documents in a timely manner. The exercise of such rights shall not constitute any limitation on the authority granted under this Power of Attorney.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act carried out by the WFOE in relation to the Equity Interests shall be deemed an act of me, and any document executed by the WFOE shall be deemed executed by me. I hereby acknowledge and agree to all such acts and documents.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WFOE shall have the right to further delegate or sub-delegate the authority granted hereunder to any other person or entity without prior notice to or consent from me. Where required under the PRC laws, the WFOE shall designate a PRC citizen to exercise the foregoing rights.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Power of Attorney shall remain irrevocable and continuously valid for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color w:val="auto"/>
        </w:rPr>
        <w:t>long as I remain a shareholder of Xinsi, commencing on the date of execution hereof.</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term of this Power of Attorney, I hereby waive all rights relating to the Equity Interests that have been authorized to the WFOE hereunder, and shall not exercise such rights independently.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This Power of Attorney is executed as of </w:t>
      </w:r>
      <w:r>
        <w:rPr>
          <w:rFonts w:ascii="Times New Roman" w:cs="Times New Roman" w:eastAsia="Times New Roman" w:hAnsi="Times New Roman"/>
          <w:sz w:val="18"/>
          <w:szCs w:val="18"/>
          <w:u w:val="single" w:color="auto"/>
          <w:color w:val="auto"/>
        </w:rPr>
        <w:t>February 27, 2025</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 text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27" w:name="page628"/>
    <w:bookmarkEnd w:id="627"/>
    <w:p>
      <w:pPr>
        <w:ind w:left="40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Li Xiaosong</w:t>
      </w:r>
    </w:p>
    <w:p>
      <w:pPr>
        <w:spacing w:after="0" w:line="229"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By:  /s/ Li Xiaosong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Kening Wu</w:t>
            </w:r>
          </w:p>
        </w:tc>
      </w:tr>
      <w:tr>
        <w:trPr>
          <w:trHeight w:val="4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Kening Wu</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Zhilue Xinsi Consulting Co., Ltd. (Seal)</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27774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Kening Wu</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2" w:right="1440" w:bottom="1440" w:gutter="0" w:footer="0" w:header="0"/>
        </w:sectPr>
      </w:pPr>
    </w:p>
    <w:bookmarkStart w:id="628" w:name="page629"/>
    <w:bookmarkEnd w:id="628"/>
    <w:p>
      <w:pPr>
        <w:jc w:val="right"/>
        <w:spacing w:after="0"/>
        <w:rPr>
          <w:sz w:val="20"/>
          <w:szCs w:val="20"/>
          <w:color w:val="auto"/>
        </w:rPr>
      </w:pPr>
      <w:r>
        <w:rPr>
          <w:rFonts w:ascii="Times New Roman" w:cs="Times New Roman" w:eastAsia="Times New Roman" w:hAnsi="Times New Roman"/>
          <w:sz w:val="18"/>
          <w:szCs w:val="18"/>
          <w:b w:val="1"/>
          <w:bCs w:val="1"/>
          <w:color w:val="auto"/>
        </w:rPr>
        <w:t>Exhibit 4.48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 Wu Kening, </w:t>
      </w:r>
      <w:r>
        <w:rPr>
          <w:rFonts w:ascii="Times New Roman" w:cs="Times New Roman" w:eastAsia="Times New Roman" w:hAnsi="Times New Roman"/>
          <w:sz w:val="18"/>
          <w:szCs w:val="18"/>
          <w:color w:val="auto"/>
        </w:rPr>
        <w:t>a PRC citizen with ID No. ******************, hold [95]% of the partnership interest in Shenzhen Zhiyi Wensi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Partnership (Limited Partnership) (“</w:t>
      </w:r>
      <w:r>
        <w:rPr>
          <w:rFonts w:ascii="Times New Roman" w:cs="Times New Roman" w:eastAsia="Times New Roman" w:hAnsi="Times New Roman"/>
          <w:sz w:val="18"/>
          <w:szCs w:val="18"/>
          <w:b w:val="1"/>
          <w:bCs w:val="1"/>
          <w:color w:val="auto"/>
        </w:rPr>
        <w:t>Wensi</w:t>
      </w:r>
      <w:r>
        <w:rPr>
          <w:rFonts w:ascii="Times New Roman" w:cs="Times New Roman" w:eastAsia="Times New Roman" w:hAnsi="Times New Roman"/>
          <w:sz w:val="18"/>
          <w:szCs w:val="18"/>
          <w:color w:val="auto"/>
        </w:rPr>
        <w:t>”) as of the date of this Power of Attorney. With respect to the partnership interests currently held or to be held in the future by me in Wensi (“</w:t>
      </w:r>
      <w:r>
        <w:rPr>
          <w:rFonts w:ascii="Times New Roman" w:cs="Times New Roman" w:eastAsia="Times New Roman" w:hAnsi="Times New Roman"/>
          <w:sz w:val="18"/>
          <w:szCs w:val="18"/>
          <w:b w:val="1"/>
          <w:bCs w:val="1"/>
          <w:color w:val="auto"/>
        </w:rPr>
        <w:t>Partnership Interests</w:t>
      </w:r>
      <w:r>
        <w:rPr>
          <w:rFonts w:ascii="Times New Roman" w:cs="Times New Roman" w:eastAsia="Times New Roman" w:hAnsi="Times New Roman"/>
          <w:sz w:val="18"/>
          <w:szCs w:val="18"/>
          <w:color w:val="auto"/>
        </w:rPr>
        <w:t>”), I hereby irrevocably appoint Xunlei Computer (Shenzhen) Co., Ltd.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to exercise, during the term of this Power of Attorney, the following rights: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 hereby authorize WFOE to act as my sole and exclusive proxy as a limited partner, to exercise all rights of a limited partner in connection with the Partnership Interests, including, without limitation: 1) attending partners’ meetings of Wensi; 2) exercising all rights and voting rights to which I am entitled as a limited partner under applicable law and the partnership agreement of Wensi, including but not limited to resolving on amendments to the partnership agreement of Wensi; resolving on changes to the scope of business of Wensi; resolving on the transfer of partnership interests by any partner of Wensi to any person other than an existing partner; resolving on the provision of guarantees by Wensi in favor of any third party; and 3) executing, on my behalf, all documents required to be executed by me as a limited partner, including but not limited to business registration amendment documents of the Partnership, documents relating to admission or withdrawal of partners, increase or decrease of any partner’s capital contribution interest, and documents relating to the dissolution and liquidation of the Partnership.</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WFOE shall have the right to execute, on my behalf, all documents required to be executed by me under the Exclusive Option Agreement entered into by and among me, the WFOE, and Wensi on [February 20], 2025, the Partnership Interest Pledge Agreement entered into by and among me, the WFOE, and Wensi on [February 20], 2025, and the Loan Agreement entered into by and between me and the WFOE on [February 20], 2025 (including any amendments, supplements, or restatements thereof, collectively,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to perform my obligations under the Transaction Documents in a timely manner. The exercise of such rights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color w:val="auto"/>
        </w:rPr>
        <w:t>constitute any limitation on the authority granted under this Power of Attorney.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act carried out by the WFOE in relation to the Partnership Interests shall be deemed an act of me, and any document executed by the WFOE shall be deemed executed by me. I hereby acknowledge and agree to all such acts and documents.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WFOE shall have the right to further delegate or sub-delegate the authority granted hereunder to any other person or entity without prior notice to or consent from me. Where required under the PRC laws, the WFOE shall designate a PRC citizen to exercise the foregoing rights.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Power of Attorney shall remain irrevocable and continuously valid for so long as I remain a limited partner of Wensi, commencing on the date of execution hereof.</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term of this Power of Attorney, I hereby waive all rights relating to the Partnership Interests that have been authorized to the WFOE hereunder, and shall not exercise such rights independently.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This Power of Attorney is executed as of </w:t>
      </w:r>
      <w:r>
        <w:rPr>
          <w:rFonts w:ascii="Times New Roman" w:cs="Times New Roman" w:eastAsia="Times New Roman" w:hAnsi="Times New Roman"/>
          <w:sz w:val="18"/>
          <w:szCs w:val="18"/>
          <w:u w:val="single" w:color="auto"/>
          <w:color w:val="auto"/>
        </w:rPr>
        <w:t>February 20, 2025</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 text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30" w:name="page631"/>
    <w:bookmarkEnd w:id="630"/>
    <w:p>
      <w:pPr>
        <w:jc w:val="right"/>
        <w:ind w:right="35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Wu Kening</w:t>
      </w:r>
    </w:p>
    <w:p>
      <w:pPr>
        <w:spacing w:after="0" w:line="22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By:  /s/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Computer (Shenzhen) Co., Ltd. (Seal)</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27774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Kening Wu</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Zhiyi Wensi Consulting Partnership (Limited Partnership) (Seal)</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27774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Kening Wu</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2" w:right="1440" w:bottom="1440" w:gutter="0" w:footer="0" w:header="0"/>
        </w:sectPr>
      </w:pPr>
    </w:p>
    <w:bookmarkStart w:id="631" w:name="page632"/>
    <w:bookmarkEnd w:id="63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principal subsidiaries, the VIEs and principal subsidiaries of the VIEs of the Registrant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42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Giganology (Shenzhen)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Xunlei Network Technologies Limited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Xunlei Network Technologies Limited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Xunlei Computer (Shenzhen)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Funi. Pte.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Fuconnect. Pte.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tc>
        <w:tc>
          <w:tcPr>
            <w:tcW w:w="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Shenzhen Xunlei Networking Technologies,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Shenzhen Suqu Network Technology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the Variable Interest Entities</w:t>
            </w:r>
          </w:p>
        </w:tc>
        <w:tc>
          <w:tcPr>
            <w:tcW w:w="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Xunlei Games Development (Shenzhen)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Shenzhen Xunlei Wangwenhua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Beijing Xunzhi Technology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Henan Tourism Information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Shanghai Kuanghui Network Technology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Hupu (Shanghai) Information Technology Co., Ltd.</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r>
      <w:tr>
        <w:trPr>
          <w:trHeight w:val="776"/>
        </w:trPr>
        <w:tc>
          <w:tcPr>
            <w:tcW w:w="4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632" w:name="page633"/>
    <w:bookmarkEnd w:id="63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Jinbo Li, certify that:</w:t>
      </w:r>
    </w:p>
    <w:p>
      <w:pPr>
        <w:spacing w:after="0" w:line="225" w:lineRule="exact"/>
        <w:rPr>
          <w:sz w:val="20"/>
          <w:szCs w:val="20"/>
          <w:color w:val="auto"/>
        </w:rPr>
      </w:pPr>
    </w:p>
    <w:p>
      <w:pPr>
        <w:ind w:left="660" w:hanging="652"/>
        <w:spacing w:after="0"/>
        <w:tabs>
          <w:tab w:leader="none" w:pos="66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Xunlei Limited;</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64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4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right="120" w:firstLine="8"/>
        <w:spacing w:after="0" w:line="266" w:lineRule="auto"/>
        <w:tabs>
          <w:tab w:leader="none" w:pos="64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66" w:lineRule="auto"/>
        <w:tabs>
          <w:tab w:leader="none" w:pos="64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00" w:firstLine="8"/>
        <w:spacing w:after="0" w:line="266" w:lineRule="auto"/>
        <w:tabs>
          <w:tab w:leader="none" w:pos="64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64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ind w:right="280" w:firstLine="8"/>
        <w:spacing w:after="0" w:line="266" w:lineRule="auto"/>
        <w:tabs>
          <w:tab w:leader="none" w:pos="64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40" w:firstLine="8"/>
        <w:spacing w:after="0" w:line="282" w:lineRule="auto"/>
        <w:tabs>
          <w:tab w:leader="none" w:pos="648"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Jinbo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8036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Name:Jinbo Li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3" w:name="page634"/>
    <w:bookmarkEnd w:id="63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Naijiang (Eric) Zhou, certify that:</w:t>
      </w:r>
    </w:p>
    <w:p>
      <w:pPr>
        <w:spacing w:after="0" w:line="225" w:lineRule="exact"/>
        <w:rPr>
          <w:sz w:val="20"/>
          <w:szCs w:val="20"/>
          <w:color w:val="auto"/>
        </w:rPr>
      </w:pPr>
    </w:p>
    <w:p>
      <w:pPr>
        <w:ind w:left="660" w:hanging="652"/>
        <w:spacing w:after="0"/>
        <w:tabs>
          <w:tab w:leader="none" w:pos="66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Xunlei Limited;</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64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4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right="120" w:firstLine="8"/>
        <w:spacing w:after="0" w:line="266" w:lineRule="auto"/>
        <w:tabs>
          <w:tab w:leader="none" w:pos="64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66" w:lineRule="auto"/>
        <w:tabs>
          <w:tab w:leader="none" w:pos="64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00" w:firstLine="8"/>
        <w:spacing w:after="0" w:line="266" w:lineRule="auto"/>
        <w:tabs>
          <w:tab w:leader="none" w:pos="64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64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ind w:right="280" w:firstLine="8"/>
        <w:spacing w:after="0" w:line="266" w:lineRule="auto"/>
        <w:tabs>
          <w:tab w:leader="none" w:pos="64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40" w:firstLine="8"/>
        <w:spacing w:after="0" w:line="282" w:lineRule="auto"/>
        <w:tabs>
          <w:tab w:leader="none" w:pos="64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Naijiang (Eric)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Name:Naijiang (Eric) Zhou</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4" w:name="page635"/>
    <w:bookmarkEnd w:id="63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Xunlei Limited (the “Company”) on Form 20-F for the year ended December 31, 2025 as filed with the Securities and Exchange Commission on the date hereof (the “Report”), I, Jinbo Li,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656"/>
        <w:spacing w:after="0" w:line="282" w:lineRule="auto"/>
        <w:tabs>
          <w:tab w:leader="none" w:pos="129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Jinbo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Name:Jinbo Li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5" w:name="page636"/>
    <w:bookmarkEnd w:id="63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Xunlei Limited (the “Company”) on Form 20-F for the year ended December 31, 2025 as filed with the Securities and Exchange Commission on the date hereof (the “Report”), I, Naijiang (Eric) Zhou,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656"/>
        <w:spacing w:after="0" w:line="282" w:lineRule="auto"/>
        <w:tabs>
          <w:tab w:leader="none" w:pos="129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Naijiang (Eric)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Name:Naijiang (Eric) Zhou</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6" w:name="page637"/>
    <w:bookmarkEnd w:id="636"/>
    <w:p>
      <w:pPr>
        <w:ind w:left="900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163830</wp:posOffset>
            </wp:positionV>
            <wp:extent cx="822960" cy="77978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3">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Our ref</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MCR/660874-000001/32189079v1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3709 Baishi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Nanshan District, Shenzhen, 518000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Xunlei Limited, an exempted company incorporated with limited liability in the Cayman Islands (the “Company”), in connection with the filing by the Company with the United States Securities and Exchange Commission (the “SEC”) of an annual report on Form 20-F for the year ended 31 December 2025 (“Form 20-F”).</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 “Item 10. Additional Information – E. Taxation – Cayman Islands Taxation” and “Item 16G. Corporate Governance” in the Form 20-F, and further consent to the incorporation by reference into the Registration Statement on Form S-8 (File No. 333-200633) filed on 28 November 2014, the Registration Statement on Form S-8 (File No. 333-257701) filed on 6 July 2021, the Registration Statement on Form S-8 (File No. 333-272690) filed on 16 June 2023 and the Registration Statement on Form S-8 (File No. 333-281272) filed on 6 August 2024 of the summary of our opinion under these headings in the Form 20-F. We also consent to the filing of this consent letter with the SEC as an exhibit to the Form 20-F.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1663065</wp:posOffset>
            </wp:positionV>
            <wp:extent cx="629221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4431665" cy="116586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5">
                      <a:extLst>
                        <a:ext uri="{28A0092B-C50C-407E-A947-70E740481C1C}"/>
                      </a:extLst>
                    </a:blip>
                    <a:srcRect/>
                    <a:stretch>
                      <a:fillRect/>
                    </a:stretch>
                  </pic:blipFill>
                  <pic:spPr bwMode="auto">
                    <a:xfrm>
                      <a:off x="0" y="0"/>
                      <a:ext cx="4431665" cy="116586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7" w:name="page638"/>
    <w:bookmarkEnd w:id="637"/>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Limited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21/F, Xunlei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3709 Baishi Road, Yuehai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Nanshan District, Shenzhen, 518057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hereby consent to references to our name under the heading “Item 3.D. Key Information—Risk Factors—Risks Related to Our Business”, “Item 3.D. Key Information— Risk Factors—Risks Related to Our Corporate Structure”, “Item 4.B Information on the Company—Business Overview—Regulation” and “Item 4.C.Information on the Company— Organizational Structure—Contractual arrangements with the Variable Interest Entities” in the Company’s annual report on Form 20-F for the year ended December 31, 2025 (the “Annual Report”), and further consent to the incorporation by reference of the summaries of our opinions under these headings into Xunlei Limited’s registration statement on Form S-8 (File No. 333 – 200633) that was filed on November 28, 2014, registration statement on Form S-8 (File No. 333 – 257701) that was filed on July 6, 2021, the registration statement on Form S-8 (File No. 333-272690) filed on June 16, 2023, and the registration statement on Form S-8 (File No. 333-281272) filed on August 6, 2024. We also consent to the filing of this consent letter with the U.S. Securities and Exchange Commission as an exhibit to the Annual Report.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Kewei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0611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Kewei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8" w:name="page639"/>
    <w:bookmarkEnd w:id="638"/>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333-200633, No. 333-257701, No. 333-272690 and No. 333-281272) of Xunlei Limited of our report dated April 28, 2026 relating to the financial statements and the effectiveness of internal control over financial reporting, which appears in this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0836196"/>
    <w:multiLevelType w:val="hybridMultilevel"/>
    <w:lvl w:ilvl="0">
      <w:lvlJc w:val="left"/>
      <w:lvlText w:val="☐"/>
      <w:numFmt w:val="bullet"/>
      <w:start w:val="1"/>
    </w:lvl>
  </w:abstractNum>
  <w:abstractNum w:abstractNumId="1">
    <w:nsid w:val="539F7F12"/>
    <w:multiLevelType w:val="hybridMultilevel"/>
    <w:lvl w:ilvl="0">
      <w:lvlJc w:val="left"/>
      <w:lvlText w:val="☒"/>
      <w:numFmt w:val="bullet"/>
      <w:start w:val="1"/>
    </w:lvl>
  </w:abstractNum>
  <w:abstractNum w:abstractNumId="2">
    <w:nsid w:val="2817E7EC"/>
    <w:multiLevelType w:val="hybridMultilevel"/>
    <w:lvl w:ilvl="0">
      <w:lvlJc w:val="left"/>
      <w:lvlText w:val="☐"/>
      <w:numFmt w:val="bullet"/>
      <w:start w:val="1"/>
    </w:lvl>
  </w:abstractNum>
  <w:abstractNum w:abstractNumId="3">
    <w:nsid w:val="71482545"/>
    <w:multiLevelType w:val="hybridMultilevel"/>
    <w:lvl w:ilvl="0">
      <w:lvlJc w:val="left"/>
      <w:lvlText w:val="☐"/>
      <w:numFmt w:val="bullet"/>
      <w:start w:val="1"/>
    </w:lvl>
  </w:abstractNum>
  <w:abstractNum w:abstractNumId="4">
    <w:nsid w:val="17D78639"/>
    <w:multiLevelType w:val="hybridMultilevel"/>
    <w:lvl w:ilvl="0">
      <w:lvlJc w:val="left"/>
      <w:lvlText w:val="*"/>
      <w:numFmt w:val="bullet"/>
      <w:start w:val="1"/>
    </w:lvl>
  </w:abstractNum>
  <w:abstractNum w:abstractNumId="5">
    <w:nsid w:val="141D2302"/>
    <w:multiLevelType w:val="hybridMultilevel"/>
    <w:lvl w:ilvl="0">
      <w:lvlJc w:val="left"/>
      <w:lvlText w:val="†"/>
      <w:numFmt w:val="bullet"/>
      <w:start w:val="1"/>
    </w:lvl>
  </w:abstractNum>
  <w:abstractNum w:abstractNumId="6">
    <w:nsid w:val="407168D8"/>
    <w:multiLevelType w:val="hybridMultilevel"/>
    <w:lvl w:ilvl="0">
      <w:lvlJc w:val="left"/>
      <w:lvlText w:val="●"/>
      <w:numFmt w:val="bullet"/>
      <w:start w:val="1"/>
    </w:lvl>
  </w:abstractNum>
  <w:abstractNum w:abstractNumId="7">
    <w:nsid w:val="6A1B45E5"/>
    <w:multiLevelType w:val="hybridMultilevel"/>
    <w:lvl w:ilvl="0">
      <w:lvlJc w:val="left"/>
      <w:lvlText w:val="●"/>
      <w:numFmt w:val="bullet"/>
      <w:start w:val="1"/>
    </w:lvl>
  </w:abstractNum>
  <w:abstractNum w:abstractNumId="8">
    <w:nsid w:val="567BD50A"/>
    <w:multiLevelType w:val="hybridMultilevel"/>
    <w:lvl w:ilvl="0">
      <w:lvlJc w:val="left"/>
      <w:lvlText w:val="(%1)"/>
      <w:numFmt w:val="decimal"/>
      <w:start w:val="1"/>
    </w:lvl>
  </w:abstractNum>
  <w:abstractNum w:abstractNumId="9">
    <w:nsid w:val="73BBD7F8"/>
    <w:multiLevelType w:val="hybridMultilevel"/>
    <w:lvl w:ilvl="0">
      <w:lvlJc w:val="left"/>
      <w:lvlText w:val="(%1)"/>
      <w:numFmt w:val="decimal"/>
      <w:start w:val="1"/>
    </w:lvl>
  </w:abstractNum>
  <w:abstractNum w:abstractNumId="10">
    <w:nsid w:val="1876589D"/>
    <w:multiLevelType w:val="hybridMultilevel"/>
    <w:lvl w:ilvl="0">
      <w:lvlJc w:val="left"/>
      <w:lvlText w:val="(%1)"/>
      <w:numFmt w:val="decimal"/>
      <w:start w:val="1"/>
    </w:lvl>
  </w:abstractNum>
  <w:abstractNum w:abstractNumId="11">
    <w:nsid w:val="327FAC77"/>
    <w:multiLevelType w:val="hybridMultilevel"/>
    <w:lvl w:ilvl="0">
      <w:lvlJc w:val="left"/>
      <w:lvlText w:val="%1."/>
      <w:numFmt w:val="upperLetter"/>
      <w:start w:val="1"/>
    </w:lvl>
  </w:abstractNum>
  <w:abstractNum w:abstractNumId="12">
    <w:nsid w:val="5A606509"/>
    <w:multiLevelType w:val="hybridMultilevel"/>
    <w:lvl w:ilvl="0">
      <w:lvlJc w:val="left"/>
      <w:lvlText w:val="●"/>
      <w:numFmt w:val="bullet"/>
      <w:start w:val="1"/>
    </w:lvl>
  </w:abstractNum>
  <w:abstractNum w:abstractNumId="13">
    <w:nsid w:val="6F38E6D1"/>
    <w:multiLevelType w:val="hybridMultilevel"/>
    <w:lvl w:ilvl="0">
      <w:lvlJc w:val="left"/>
      <w:lvlText w:val="●"/>
      <w:numFmt w:val="bullet"/>
      <w:start w:val="1"/>
    </w:lvl>
  </w:abstractNum>
  <w:abstractNum w:abstractNumId="14">
    <w:nsid w:val="46111BA5"/>
    <w:multiLevelType w:val="hybridMultilevel"/>
    <w:lvl w:ilvl="0">
      <w:lvlJc w:val="left"/>
      <w:lvlText w:val="●"/>
      <w:numFmt w:val="bullet"/>
      <w:start w:val="1"/>
    </w:lvl>
  </w:abstractNum>
  <w:abstractNum w:abstractNumId="15">
    <w:nsid w:val="5E963896"/>
    <w:multiLevelType w:val="hybridMultilevel"/>
    <w:lvl w:ilvl="0">
      <w:lvlJc w:val="left"/>
      <w:lvlText w:val="●"/>
      <w:numFmt w:val="bullet"/>
      <w:start w:val="1"/>
    </w:lvl>
  </w:abstractNum>
  <w:abstractNum w:abstractNumId="16">
    <w:nsid w:val="775BA7C1"/>
    <w:multiLevelType w:val="hybridMultilevel"/>
    <w:lvl w:ilvl="0">
      <w:lvlJc w:val="left"/>
      <w:lvlText w:val="●"/>
      <w:numFmt w:val="bullet"/>
      <w:start w:val="1"/>
    </w:lvl>
  </w:abstractNum>
  <w:abstractNum w:abstractNumId="17">
    <w:nsid w:val="1DD6D6F4"/>
    <w:multiLevelType w:val="hybridMultilevel"/>
    <w:lvl w:ilvl="0">
      <w:lvlJc w:val="left"/>
      <w:lvlText w:val="●"/>
      <w:numFmt w:val="bullet"/>
      <w:start w:val="1"/>
    </w:lvl>
  </w:abstractNum>
  <w:abstractNum w:abstractNumId="18">
    <w:nsid w:val="769A091F"/>
    <w:multiLevelType w:val="hybridMultilevel"/>
    <w:lvl w:ilvl="0">
      <w:lvlJc w:val="left"/>
      <w:lvlText w:val="…"/>
      <w:numFmt w:val="bullet"/>
      <w:start w:val="1"/>
    </w:lvl>
  </w:abstractNum>
  <w:abstractNum w:abstractNumId="19">
    <w:nsid w:val="4695AE95"/>
    <w:multiLevelType w:val="hybridMultilevel"/>
    <w:lvl w:ilvl="0">
      <w:lvlJc w:val="left"/>
      <w:lvlText w:val="●"/>
      <w:numFmt w:val="bullet"/>
      <w:start w:val="1"/>
    </w:lvl>
  </w:abstractNum>
  <w:abstractNum w:abstractNumId="20">
    <w:nsid w:val="777A4EAA"/>
    <w:multiLevelType w:val="hybridMultilevel"/>
    <w:lvl w:ilvl="0">
      <w:lvlJc w:val="left"/>
      <w:lvlText w:val="●"/>
      <w:numFmt w:val="bullet"/>
      <w:start w:val="1"/>
    </w:lvl>
  </w:abstractNum>
  <w:abstractNum w:abstractNumId="21">
    <w:nsid w:val="3F48B982"/>
    <w:multiLevelType w:val="hybridMultilevel"/>
    <w:lvl w:ilvl="0">
      <w:lvlJc w:val="left"/>
      <w:lvlText w:val="●"/>
      <w:numFmt w:val="bullet"/>
      <w:start w:val="1"/>
    </w:lvl>
  </w:abstractNum>
  <w:abstractNum w:abstractNumId="22">
    <w:nsid w:val="46BA8FCA"/>
    <w:multiLevelType w:val="hybridMultilevel"/>
    <w:lvl w:ilvl="0">
      <w:lvlJc w:val="left"/>
      <w:lvlText w:val="●"/>
      <w:numFmt w:val="bullet"/>
      <w:start w:val="1"/>
    </w:lvl>
  </w:abstractNum>
  <w:abstractNum w:abstractNumId="23">
    <w:nsid w:val="7835626C"/>
    <w:multiLevelType w:val="hybridMultilevel"/>
    <w:lvl w:ilvl="0">
      <w:lvlJc w:val="left"/>
      <w:lvlText w:val="●"/>
      <w:numFmt w:val="bullet"/>
      <w:start w:val="1"/>
    </w:lvl>
  </w:abstractNum>
  <w:abstractNum w:abstractNumId="24">
    <w:nsid w:val="665ACA49"/>
    <w:multiLevelType w:val="hybridMultilevel"/>
    <w:lvl w:ilvl="0">
      <w:lvlJc w:val="left"/>
      <w:lvlText w:val="%1."/>
      <w:numFmt w:val="upperLetter"/>
      <w:start w:val="1"/>
    </w:lvl>
  </w:abstractNum>
  <w:abstractNum w:abstractNumId="25">
    <w:nsid w:val="6835B2AE"/>
    <w:multiLevelType w:val="hybridMultilevel"/>
    <w:lvl w:ilvl="0">
      <w:lvlJc w:val="left"/>
      <w:lvlText w:val="●"/>
      <w:numFmt w:val="bullet"/>
      <w:start w:val="1"/>
    </w:lvl>
  </w:abstractNum>
  <w:abstractNum w:abstractNumId="26">
    <w:nsid w:val="4C187C90"/>
    <w:multiLevelType w:val="hybridMultilevel"/>
    <w:lvl w:ilvl="0">
      <w:lvlJc w:val="left"/>
      <w:lvlText w:val="●"/>
      <w:numFmt w:val="bullet"/>
      <w:start w:val="1"/>
    </w:lvl>
  </w:abstractNum>
  <w:abstractNum w:abstractNumId="27">
    <w:nsid w:val="541F28CD"/>
    <w:multiLevelType w:val="hybridMultilevel"/>
    <w:lvl w:ilvl="0">
      <w:lvlJc w:val="left"/>
      <w:lvlText w:val="%1."/>
      <w:numFmt w:val="upperLetter"/>
      <w:start w:val="2"/>
    </w:lvl>
  </w:abstractNum>
  <w:abstractNum w:abstractNumId="28">
    <w:nsid w:val="7F65FD16"/>
    <w:multiLevelType w:val="hybridMultilevel"/>
    <w:lvl w:ilvl="0">
      <w:lvlJc w:val="left"/>
      <w:lvlText w:val="●"/>
      <w:numFmt w:val="bullet"/>
      <w:start w:val="1"/>
    </w:lvl>
  </w:abstractNum>
  <w:abstractNum w:abstractNumId="29">
    <w:nsid w:val="77C9FD68"/>
    <w:multiLevelType w:val="hybridMultilevel"/>
    <w:lvl w:ilvl="0">
      <w:lvlJc w:val="left"/>
      <w:lvlText w:val="●"/>
      <w:numFmt w:val="bullet"/>
      <w:start w:val="1"/>
    </w:lvl>
  </w:abstractNum>
  <w:abstractNum w:abstractNumId="30">
    <w:nsid w:val="298A92BA"/>
    <w:multiLevelType w:val="hybridMultilevel"/>
    <w:lvl w:ilvl="0">
      <w:lvlJc w:val="left"/>
      <w:lvlText w:val="●"/>
      <w:numFmt w:val="bullet"/>
      <w:start w:val="1"/>
    </w:lvl>
  </w:abstractNum>
  <w:abstractNum w:abstractNumId="31">
    <w:nsid w:val="6FE95EAC"/>
    <w:multiLevelType w:val="hybridMultilevel"/>
    <w:lvl w:ilvl="0">
      <w:lvlJc w:val="left"/>
      <w:lvlText w:val="●"/>
      <w:numFmt w:val="bullet"/>
      <w:start w:val="1"/>
    </w:lvl>
  </w:abstractNum>
  <w:abstractNum w:abstractNumId="32">
    <w:nsid w:val="4B697C7A"/>
    <w:multiLevelType w:val="hybridMultilevel"/>
    <w:lvl w:ilvl="0">
      <w:lvlJc w:val="left"/>
      <w:lvlText w:val="●"/>
      <w:numFmt w:val="bullet"/>
      <w:start w:val="1"/>
    </w:lvl>
  </w:abstractNum>
  <w:abstractNum w:abstractNumId="33">
    <w:nsid w:val="51A27AA6"/>
    <w:multiLevelType w:val="hybridMultilevel"/>
    <w:lvl w:ilvl="0">
      <w:lvlJc w:val="left"/>
      <w:lvlText w:val="●"/>
      <w:numFmt w:val="bullet"/>
      <w:start w:val="1"/>
    </w:lvl>
  </w:abstractNum>
  <w:abstractNum w:abstractNumId="34">
    <w:nsid w:val="613183F2"/>
    <w:multiLevelType w:val="hybridMultilevel"/>
    <w:lvl w:ilvl="0">
      <w:lvlJc w:val="left"/>
      <w:lvlText w:val="●"/>
      <w:numFmt w:val="bullet"/>
      <w:start w:val="1"/>
    </w:lvl>
  </w:abstractNum>
  <w:abstractNum w:abstractNumId="35">
    <w:nsid w:val="634102B4"/>
    <w:multiLevelType w:val="hybridMultilevel"/>
    <w:lvl w:ilvl="0">
      <w:lvlJc w:val="left"/>
      <w:lvlText w:val="●"/>
      <w:numFmt w:val="bullet"/>
      <w:start w:val="1"/>
    </w:lvl>
  </w:abstractNum>
  <w:abstractNum w:abstractNumId="36">
    <w:nsid w:val="65BF9DA8"/>
    <w:multiLevelType w:val="hybridMultilevel"/>
    <w:lvl w:ilvl="0">
      <w:lvlJc w:val="left"/>
      <w:lvlText w:val="●"/>
      <w:numFmt w:val="bullet"/>
      <w:start w:val="1"/>
    </w:lvl>
  </w:abstractNum>
  <w:abstractNum w:abstractNumId="37">
    <w:nsid w:val="21A2ECCA"/>
    <w:multiLevelType w:val="hybridMultilevel"/>
    <w:lvl w:ilvl="0">
      <w:lvlJc w:val="left"/>
      <w:lvlText w:val="●"/>
      <w:numFmt w:val="bullet"/>
      <w:start w:val="1"/>
    </w:lvl>
  </w:abstractNum>
  <w:abstractNum w:abstractNumId="38">
    <w:nsid w:val="4D5C4899"/>
    <w:multiLevelType w:val="hybridMultilevel"/>
    <w:lvl w:ilvl="0">
      <w:lvlJc w:val="left"/>
      <w:lvlText w:val="●"/>
      <w:numFmt w:val="bullet"/>
      <w:start w:val="1"/>
    </w:lvl>
  </w:abstractNum>
  <w:abstractNum w:abstractNumId="39">
    <w:nsid w:val="3C3B72B2"/>
    <w:multiLevelType w:val="hybridMultilevel"/>
    <w:lvl w:ilvl="0">
      <w:lvlJc w:val="left"/>
      <w:lvlText w:val="●"/>
      <w:numFmt w:val="bullet"/>
      <w:start w:val="1"/>
    </w:lvl>
  </w:abstractNum>
  <w:abstractNum w:abstractNumId="40">
    <w:nsid w:val="155EC4C2"/>
    <w:multiLevelType w:val="hybridMultilevel"/>
    <w:lvl w:ilvl="0">
      <w:lvlJc w:val="left"/>
      <w:lvlText w:val="●"/>
      <w:numFmt w:val="bullet"/>
      <w:start w:val="1"/>
    </w:lvl>
  </w:abstractNum>
  <w:abstractNum w:abstractNumId="41">
    <w:nsid w:val="65D2A137"/>
    <w:multiLevelType w:val="hybridMultilevel"/>
    <w:lvl w:ilvl="0">
      <w:lvlJc w:val="left"/>
      <w:lvlText w:val="●"/>
      <w:numFmt w:val="bullet"/>
      <w:start w:val="1"/>
    </w:lvl>
  </w:abstractNum>
  <w:abstractNum w:abstractNumId="42">
    <w:nsid w:val="6EBB1F2A"/>
    <w:multiLevelType w:val="hybridMultilevel"/>
    <w:lvl w:ilvl="0">
      <w:lvlJc w:val="left"/>
      <w:lvlText w:val="%1."/>
      <w:numFmt w:val="upperLetter"/>
      <w:start w:val="3"/>
    </w:lvl>
  </w:abstractNum>
  <w:abstractNum w:abstractNumId="43">
    <w:nsid w:val="6FBF29CB"/>
    <w:multiLevelType w:val="hybridMultilevel"/>
    <w:lvl w:ilvl="0">
      <w:lvlJc w:val="left"/>
      <w:lvlText w:val="(%1)"/>
      <w:numFmt w:val="decimal"/>
      <w:start w:val="1"/>
    </w:lvl>
  </w:abstractNum>
  <w:abstractNum w:abstractNumId="44">
    <w:nsid w:val="550B8808"/>
    <w:multiLevelType w:val="hybridMultilevel"/>
    <w:lvl w:ilvl="0">
      <w:lvlJc w:val="left"/>
      <w:lvlText w:val="●"/>
      <w:numFmt w:val="bullet"/>
      <w:start w:val="1"/>
    </w:lvl>
  </w:abstractNum>
  <w:abstractNum w:abstractNumId="45">
    <w:nsid w:val="34CC3ACF"/>
    <w:multiLevelType w:val="hybridMultilevel"/>
    <w:lvl w:ilvl="0">
      <w:lvlJc w:val="left"/>
      <w:lvlText w:val="%1."/>
      <w:numFmt w:val="upperLetter"/>
      <w:start w:val="4"/>
    </w:lvl>
  </w:abstractNum>
  <w:abstractNum w:abstractNumId="46">
    <w:nsid w:val="4E556261"/>
    <w:multiLevelType w:val="hybridMultilevel"/>
    <w:lvl w:ilvl="0">
      <w:lvlJc w:val="left"/>
      <w:lvlText w:val="%1."/>
      <w:numFmt w:val="upperLetter"/>
      <w:start w:val="1"/>
    </w:lvl>
  </w:abstractNum>
  <w:abstractNum w:abstractNumId="47">
    <w:nsid w:val="4C672FC9"/>
    <w:multiLevelType w:val="hybridMultilevel"/>
    <w:lvl w:ilvl="0">
      <w:lvlJc w:val="left"/>
      <w:lvlText w:val="●"/>
      <w:numFmt w:val="bullet"/>
      <w:start w:val="1"/>
    </w:lvl>
  </w:abstractNum>
  <w:abstractNum w:abstractNumId="48">
    <w:nsid w:val="52A311C3"/>
    <w:multiLevelType w:val="hybridMultilevel"/>
    <w:lvl w:ilvl="0">
      <w:lvlJc w:val="left"/>
      <w:lvlText w:val="(%1)"/>
      <w:numFmt w:val="decimal"/>
      <w:start w:val="1"/>
    </w:lvl>
  </w:abstractNum>
  <w:abstractNum w:abstractNumId="49">
    <w:nsid w:val="44EF6B80"/>
    <w:multiLevelType w:val="hybridMultilevel"/>
    <w:lvl w:ilvl="0">
      <w:lvlJc w:val="left"/>
      <w:lvlText w:val="·"/>
      <w:numFmt w:val="bullet"/>
      <w:start w:val="1"/>
    </w:lvl>
  </w:abstractNum>
  <w:abstractNum w:abstractNumId="50">
    <w:nsid w:val="12FCDE5E"/>
    <w:multiLevelType w:val="hybridMultilevel"/>
    <w:lvl w:ilvl="0">
      <w:lvlJc w:val="left"/>
      <w:lvlText w:val="●"/>
      <w:numFmt w:val="bullet"/>
      <w:start w:val="1"/>
    </w:lvl>
  </w:abstractNum>
  <w:abstractNum w:abstractNumId="51">
    <w:nsid w:val="4A1D606E"/>
    <w:multiLevelType w:val="hybridMultilevel"/>
    <w:lvl w:ilvl="0">
      <w:lvlJc w:val="left"/>
      <w:lvlText w:val="(%1)"/>
      <w:numFmt w:val="decimal"/>
      <w:start w:val="1"/>
    </w:lvl>
  </w:abstractNum>
  <w:abstractNum w:abstractNumId="52">
    <w:nsid w:val="4382503"/>
    <w:multiLevelType w:val="hybridMultilevel"/>
    <w:lvl w:ilvl="0">
      <w:lvlJc w:val="left"/>
      <w:lvlText w:val="(%1)"/>
      <w:numFmt w:val="decimal"/>
      <w:start w:val="1"/>
    </w:lvl>
  </w:abstractNum>
  <w:abstractNum w:abstractNumId="53">
    <w:nsid w:val="59B76E28"/>
    <w:multiLevelType w:val="hybridMultilevel"/>
    <w:lvl w:ilvl="0">
      <w:lvlJc w:val="left"/>
      <w:lvlText w:val="%1."/>
      <w:numFmt w:val="upperLetter"/>
      <w:start w:val="2"/>
    </w:lvl>
  </w:abstractNum>
  <w:abstractNum w:abstractNumId="54">
    <w:nsid w:val="4252C2DA"/>
    <w:multiLevelType w:val="hybridMultilevel"/>
    <w:lvl w:ilvl="0">
      <w:lvlJc w:val="left"/>
      <w:lvlText w:val="%1."/>
      <w:numFmt w:val="upperLetter"/>
      <w:start w:val="3"/>
    </w:lvl>
  </w:abstractNum>
  <w:abstractNum w:abstractNumId="55">
    <w:nsid w:val="6A92EF4C"/>
    <w:multiLevelType w:val="hybridMultilevel"/>
    <w:lvl w:ilvl="0">
      <w:lvlJc w:val="left"/>
      <w:lvlText w:val="%1."/>
      <w:numFmt w:val="upperLetter"/>
      <w:start w:val="4"/>
    </w:lvl>
  </w:abstractNum>
  <w:abstractNum w:abstractNumId="56">
    <w:nsid w:val="41ED20D7"/>
    <w:multiLevelType w:val="hybridMultilevel"/>
    <w:lvl w:ilvl="0">
      <w:lvlJc w:val="left"/>
      <w:lvlText w:val="%1."/>
      <w:numFmt w:val="upperLetter"/>
      <w:start w:val="5"/>
    </w:lvl>
  </w:abstractNum>
  <w:abstractNum w:abstractNumId="57">
    <w:nsid w:val="E6B3F6A"/>
    <w:multiLevelType w:val="hybridMultilevel"/>
    <w:lvl w:ilvl="0">
      <w:lvlJc w:val="left"/>
      <w:lvlText w:val="●"/>
      <w:numFmt w:val="bullet"/>
      <w:start w:val="1"/>
    </w:lvl>
  </w:abstractNum>
  <w:abstractNum w:abstractNumId="58">
    <w:nsid w:val="3EB21819"/>
    <w:multiLevelType w:val="hybridMultilevel"/>
    <w:lvl w:ilvl="0">
      <w:lvlJc w:val="left"/>
      <w:lvlText w:val="%1."/>
      <w:numFmt w:val="upperLetter"/>
      <w:start w:val="1"/>
    </w:lvl>
  </w:abstractNum>
  <w:abstractNum w:abstractNumId="59">
    <w:nsid w:val="41531DED"/>
    <w:multiLevelType w:val="hybridMultilevel"/>
    <w:lvl w:ilvl="0">
      <w:lvlJc w:val="left"/>
      <w:lvlText w:val="%1."/>
      <w:numFmt w:val="upperLetter"/>
      <w:start w:val="2"/>
    </w:lvl>
  </w:abstractNum>
  <w:abstractNum w:abstractNumId="60">
    <w:nsid w:val="6353CD2"/>
    <w:multiLevelType w:val="hybridMultilevel"/>
    <w:lvl w:ilvl="0">
      <w:lvlJc w:val="left"/>
      <w:lvlText w:val="%1."/>
      <w:numFmt w:val="upperLetter"/>
      <w:start w:val="3"/>
    </w:lvl>
  </w:abstractNum>
  <w:abstractNum w:abstractNumId="61">
    <w:nsid w:val="683CAAD3"/>
    <w:multiLevelType w:val="hybridMultilevel"/>
    <w:lvl w:ilvl="0">
      <w:lvlJc w:val="left"/>
      <w:lvlText w:val="●"/>
      <w:numFmt w:val="bullet"/>
      <w:start w:val="1"/>
    </w:lvl>
  </w:abstractNum>
  <w:abstractNum w:abstractNumId="62">
    <w:nsid w:val="313C7C99"/>
    <w:multiLevelType w:val="hybridMultilevel"/>
    <w:lvl w:ilvl="0">
      <w:lvlJc w:val="left"/>
      <w:lvlText w:val="●"/>
      <w:numFmt w:val="bullet"/>
      <w:start w:val="1"/>
    </w:lvl>
  </w:abstractNum>
  <w:abstractNum w:abstractNumId="63">
    <w:nsid w:val="519EB94C"/>
    <w:multiLevelType w:val="hybridMultilevel"/>
    <w:lvl w:ilvl="0">
      <w:lvlJc w:val="left"/>
      <w:lvlText w:val="●"/>
      <w:numFmt w:val="bullet"/>
      <w:start w:val="1"/>
    </w:lvl>
  </w:abstractNum>
  <w:abstractNum w:abstractNumId="64">
    <w:nsid w:val="39DF2579"/>
    <w:multiLevelType w:val="hybridMultilevel"/>
    <w:lvl w:ilvl="0">
      <w:lvlJc w:val="left"/>
      <w:lvlText w:val="●"/>
      <w:numFmt w:val="bullet"/>
      <w:start w:val="1"/>
    </w:lvl>
  </w:abstractNum>
  <w:abstractNum w:abstractNumId="65">
    <w:nsid w:val="126E008B"/>
    <w:multiLevelType w:val="hybridMultilevel"/>
    <w:lvl w:ilvl="0">
      <w:lvlJc w:val="left"/>
      <w:lvlText w:val="%1."/>
      <w:numFmt w:val="upperLetter"/>
      <w:start w:val="4"/>
    </w:lvl>
  </w:abstractNum>
  <w:abstractNum w:abstractNumId="66">
    <w:nsid w:val="34DFBC00"/>
    <w:multiLevelType w:val="hybridMultilevel"/>
    <w:lvl w:ilvl="0">
      <w:lvlJc w:val="left"/>
      <w:lvlText w:val="%1."/>
      <w:numFmt w:val="upperLetter"/>
      <w:start w:val="5"/>
    </w:lvl>
  </w:abstractNum>
  <w:abstractNum w:abstractNumId="67">
    <w:nsid w:val="1F9EC322"/>
    <w:multiLevelType w:val="hybridMultilevel"/>
    <w:lvl w:ilvl="0">
      <w:lvlJc w:val="left"/>
      <w:lvlText w:val="%1."/>
      <w:numFmt w:val="upperLetter"/>
      <w:start w:val="6"/>
    </w:lvl>
  </w:abstractNum>
  <w:abstractNum w:abstractNumId="68">
    <w:nsid w:val="3410ED56"/>
    <w:multiLevelType w:val="hybridMultilevel"/>
    <w:lvl w:ilvl="0">
      <w:lvlJc w:val="left"/>
      <w:lvlText w:val="%1."/>
      <w:numFmt w:val="upperLetter"/>
      <w:start w:val="1"/>
    </w:lvl>
  </w:abstractNum>
  <w:abstractNum w:abstractNumId="69">
    <w:nsid w:val="23C049A"/>
    <w:multiLevelType w:val="hybridMultilevel"/>
    <w:lvl w:ilvl="0">
      <w:lvlJc w:val="left"/>
      <w:lvlText w:val="●"/>
      <w:numFmt w:val="bullet"/>
      <w:start w:val="1"/>
    </w:lvl>
  </w:abstractNum>
  <w:abstractNum w:abstractNumId="70">
    <w:nsid w:val="5BDA35D4"/>
    <w:multiLevelType w:val="hybridMultilevel"/>
    <w:lvl w:ilvl="0">
      <w:lvlJc w:val="left"/>
      <w:lvlText w:val="(%1)"/>
      <w:numFmt w:val="lowerRoman"/>
      <w:start w:val="1"/>
    </w:lvl>
  </w:abstractNum>
  <w:abstractNum w:abstractNumId="71">
    <w:nsid w:val="496FB218"/>
    <w:multiLevelType w:val="hybridMultilevel"/>
    <w:lvl w:ilvl="0">
      <w:lvlJc w:val="left"/>
      <w:lvlText w:val="*"/>
      <w:numFmt w:val="bullet"/>
      <w:start w:val="1"/>
    </w:lvl>
  </w:abstractNum>
  <w:abstractNum w:abstractNumId="72">
    <w:nsid w:val="680EA5D1"/>
    <w:multiLevelType w:val="hybridMultilevel"/>
    <w:lvl w:ilvl="0">
      <w:lvlJc w:val="left"/>
      <w:lvlText w:val="†"/>
      <w:numFmt w:val="bullet"/>
      <w:start w:val="1"/>
    </w:lvl>
  </w:abstractNum>
  <w:abstractNum w:abstractNumId="73">
    <w:nsid w:val="4A9554FE"/>
    <w:multiLevelType w:val="hybridMultilevel"/>
    <w:lvl w:ilvl="0">
      <w:lvlJc w:val="left"/>
      <w:lvlText w:val="(%1)"/>
      <w:numFmt w:val="decimal"/>
      <w:start w:val="1"/>
    </w:lvl>
  </w:abstractNum>
  <w:abstractNum w:abstractNumId="74">
    <w:nsid w:val="392EDBE4"/>
    <w:multiLevelType w:val="hybridMultilevel"/>
    <w:lvl w:ilvl="0">
      <w:lvlJc w:val="left"/>
      <w:lvlText w:val="%1."/>
      <w:numFmt w:val="upperLetter"/>
      <w:start w:val="2"/>
    </w:lvl>
  </w:abstractNum>
  <w:abstractNum w:abstractNumId="75">
    <w:nsid w:val="3D1A2DD9"/>
    <w:multiLevelType w:val="hybridMultilevel"/>
    <w:lvl w:ilvl="0">
      <w:lvlJc w:val="left"/>
      <w:lvlText w:val="%1."/>
      <w:numFmt w:val="upperLetter"/>
      <w:start w:val="3"/>
    </w:lvl>
  </w:abstractNum>
  <w:abstractNum w:abstractNumId="76">
    <w:nsid w:val="7F618FCD"/>
    <w:multiLevelType w:val="hybridMultilevel"/>
    <w:lvl w:ilvl="0">
      <w:lvlJc w:val="left"/>
      <w:lvlText w:val="%1."/>
      <w:numFmt w:val="upperLetter"/>
      <w:start w:val="1"/>
    </w:lvl>
  </w:abstractNum>
  <w:abstractNum w:abstractNumId="77">
    <w:nsid w:val="7843E45"/>
    <w:multiLevelType w:val="hybridMultilevel"/>
    <w:lvl w:ilvl="0">
      <w:lvlJc w:val="left"/>
      <w:lvlText w:val="%1."/>
      <w:numFmt w:val="upperLetter"/>
      <w:start w:val="2"/>
    </w:lvl>
  </w:abstractNum>
  <w:abstractNum w:abstractNumId="78">
    <w:nsid w:val="9815DA3"/>
    <w:multiLevelType w:val="hybridMultilevel"/>
    <w:lvl w:ilvl="0">
      <w:lvlJc w:val="left"/>
      <w:lvlText w:val="%1."/>
      <w:numFmt w:val="upperLetter"/>
      <w:start w:val="1"/>
    </w:lvl>
  </w:abstractNum>
  <w:abstractNum w:abstractNumId="79">
    <w:nsid w:val="5204A191"/>
    <w:multiLevelType w:val="hybridMultilevel"/>
    <w:lvl w:ilvl="0">
      <w:lvlJc w:val="left"/>
      <w:lvlText w:val="%1."/>
      <w:numFmt w:val="upperLetter"/>
      <w:start w:val="2"/>
    </w:lvl>
  </w:abstractNum>
  <w:abstractNum w:abstractNumId="80">
    <w:nsid w:val="4C73A9C6"/>
    <w:multiLevelType w:val="hybridMultilevel"/>
    <w:lvl w:ilvl="0">
      <w:lvlJc w:val="left"/>
      <w:lvlText w:val="%1."/>
      <w:numFmt w:val="upperLetter"/>
      <w:start w:val="4"/>
    </w:lvl>
  </w:abstractNum>
  <w:abstractNum w:abstractNumId="81">
    <w:nsid w:val="1C7E3C01"/>
    <w:multiLevelType w:val="hybridMultilevel"/>
    <w:lvl w:ilvl="0">
      <w:lvlJc w:val="left"/>
      <w:lvlText w:val="%1."/>
      <w:numFmt w:val="upperLetter"/>
      <w:start w:val="5"/>
    </w:lvl>
  </w:abstractNum>
  <w:abstractNum w:abstractNumId="82">
    <w:nsid w:val="1C2201FF"/>
    <w:multiLevelType w:val="hybridMultilevel"/>
    <w:lvl w:ilvl="0">
      <w:lvlJc w:val="left"/>
      <w:lvlText w:val="%1."/>
      <w:numFmt w:val="upperLetter"/>
      <w:start w:val="1"/>
    </w:lvl>
  </w:abstractNum>
  <w:abstractNum w:abstractNumId="83">
    <w:nsid w:val="50ABCEC9"/>
    <w:multiLevelType w:val="hybridMultilevel"/>
    <w:lvl w:ilvl="0">
      <w:lvlJc w:val="left"/>
      <w:lvlText w:val="%1."/>
      <w:numFmt w:val="upperLetter"/>
      <w:start w:val="2"/>
    </w:lvl>
  </w:abstractNum>
  <w:abstractNum w:abstractNumId="84">
    <w:nsid w:val="7635AA2A"/>
    <w:multiLevelType w:val="hybridMultilevel"/>
    <w:lvl w:ilvl="0">
      <w:lvlJc w:val="left"/>
      <w:lvlText w:val="●"/>
      <w:numFmt w:val="bullet"/>
      <w:start w:val="1"/>
    </w:lvl>
  </w:abstractNum>
  <w:abstractNum w:abstractNumId="85">
    <w:nsid w:val="5E74C4D9"/>
    <w:multiLevelType w:val="hybridMultilevel"/>
    <w:lvl w:ilvl="0">
      <w:lvlJc w:val="left"/>
      <w:lvlText w:val="\endash "/>
      <w:numFmt w:val="bullet"/>
      <w:start w:val="1"/>
    </w:lvl>
  </w:abstractNum>
  <w:abstractNum w:abstractNumId="86">
    <w:nsid w:val="3B3EBE15"/>
    <w:multiLevelType w:val="hybridMultilevel"/>
    <w:lvl w:ilvl="0">
      <w:lvlJc w:val="left"/>
      <w:lvlText w:val="\endash "/>
      <w:numFmt w:val="bullet"/>
      <w:start w:val="1"/>
    </w:lvl>
  </w:abstractNum>
  <w:abstractNum w:abstractNumId="87">
    <w:nsid w:val="3822CB01"/>
    <w:multiLevelType w:val="hybridMultilevel"/>
    <w:lvl w:ilvl="0">
      <w:lvlJc w:val="left"/>
      <w:lvlText w:val="●"/>
      <w:numFmt w:val="bullet"/>
      <w:start w:val="1"/>
    </w:lvl>
  </w:abstractNum>
  <w:abstractNum w:abstractNumId="88">
    <w:nsid w:val="6CE00443"/>
    <w:multiLevelType w:val="hybridMultilevel"/>
    <w:lvl w:ilvl="0">
      <w:lvlJc w:val="left"/>
      <w:lvlText w:val="●"/>
      <w:numFmt w:val="bullet"/>
      <w:start w:val="1"/>
    </w:lvl>
  </w:abstractNum>
  <w:abstractNum w:abstractNumId="89">
    <w:nsid w:val="79F0D62F"/>
    <w:multiLevelType w:val="hybridMultilevel"/>
    <w:lvl w:ilvl="0">
      <w:lvlJc w:val="left"/>
      <w:lvlText w:val="(%1)"/>
      <w:numFmt w:val="decimal"/>
      <w:start w:val="2"/>
    </w:lvl>
  </w:abstractNum>
  <w:abstractNum w:abstractNumId="90">
    <w:nsid w:val="7975E8EE"/>
    <w:multiLevelType w:val="hybridMultilevel"/>
    <w:lvl w:ilvl="0">
      <w:lvlJc w:val="left"/>
      <w:lvlText w:val="●"/>
      <w:numFmt w:val="bullet"/>
      <w:start w:val="1"/>
    </w:lvl>
  </w:abstractNum>
  <w:abstractNum w:abstractNumId="91">
    <w:nsid w:val="73154115"/>
    <w:multiLevelType w:val="hybridMultilevel"/>
    <w:lvl w:ilvl="0">
      <w:lvlJc w:val="left"/>
      <w:lvlText w:val="●"/>
      <w:numFmt w:val="bullet"/>
      <w:start w:val="1"/>
    </w:lvl>
  </w:abstractNum>
  <w:abstractNum w:abstractNumId="92">
    <w:nsid w:val="622D8102"/>
    <w:multiLevelType w:val="hybridMultilevel"/>
    <w:lvl w:ilvl="0">
      <w:lvlJc w:val="left"/>
      <w:lvlText w:val="●"/>
      <w:numFmt w:val="bullet"/>
      <w:start w:val="1"/>
    </w:lvl>
  </w:abstractNum>
  <w:abstractNum w:abstractNumId="93">
    <w:nsid w:val="2AB26587"/>
    <w:multiLevelType w:val="hybridMultilevel"/>
    <w:lvl w:ilvl="0">
      <w:lvlJc w:val="left"/>
      <w:lvlText w:val="(%1)"/>
      <w:numFmt w:val="lowerLetter"/>
      <w:start w:val="1"/>
    </w:lvl>
  </w:abstractNum>
  <w:abstractNum w:abstractNumId="94">
    <w:nsid w:val="44B3FA61"/>
    <w:multiLevelType w:val="hybridMultilevel"/>
    <w:lvl w:ilvl="0">
      <w:lvlJc w:val="left"/>
      <w:lvlText w:val="%1."/>
      <w:numFmt w:val="upperLetter"/>
      <w:start w:val="3"/>
    </w:lvl>
  </w:abstractNum>
  <w:abstractNum w:abstractNumId="95">
    <w:nsid w:val="1C0CA67C"/>
    <w:multiLevelType w:val="hybridMultilevel"/>
    <w:lvl w:ilvl="0">
      <w:lvlJc w:val="left"/>
      <w:lvlText w:val="%1."/>
      <w:numFmt w:val="upperLetter"/>
      <w:start w:val="4"/>
    </w:lvl>
  </w:abstractNum>
  <w:abstractNum w:abstractNumId="96">
    <w:nsid w:val="3D206613"/>
    <w:multiLevelType w:val="hybridMultilevel"/>
    <w:lvl w:ilvl="0">
      <w:lvlJc w:val="left"/>
      <w:lvlText w:val="%1."/>
      <w:numFmt w:val="upperLetter"/>
      <w:start w:val="5"/>
    </w:lvl>
  </w:abstractNum>
  <w:abstractNum w:abstractNumId="97">
    <w:nsid w:val="7993B662"/>
    <w:multiLevelType w:val="hybridMultilevel"/>
    <w:lvl w:ilvl="0">
      <w:lvlJc w:val="left"/>
      <w:lvlText w:val="●"/>
      <w:numFmt w:val="bullet"/>
      <w:start w:val="1"/>
    </w:lvl>
  </w:abstractNum>
  <w:abstractNum w:abstractNumId="98">
    <w:nsid w:val="3BAB699E"/>
    <w:multiLevelType w:val="hybridMultilevel"/>
    <w:lvl w:ilvl="0">
      <w:lvlJc w:val="left"/>
      <w:lvlText w:val="●"/>
      <w:numFmt w:val="bullet"/>
      <w:start w:val="1"/>
    </w:lvl>
  </w:abstractNum>
  <w:abstractNum w:abstractNumId="99">
    <w:nsid w:val="71315369"/>
    <w:multiLevelType w:val="hybridMultilevel"/>
    <w:lvl w:ilvl="0">
      <w:lvlJc w:val="left"/>
      <w:lvlText w:val="●"/>
      <w:numFmt w:val="bullet"/>
      <w:start w:val="1"/>
    </w:lvl>
  </w:abstractNum>
  <w:abstractNum w:abstractNumId="100">
    <w:nsid w:val="7BCFBAFC"/>
    <w:multiLevelType w:val="hybridMultilevel"/>
    <w:lvl w:ilvl="0">
      <w:lvlJc w:val="left"/>
      <w:lvlText w:val="●"/>
      <w:numFmt w:val="bullet"/>
      <w:start w:val="1"/>
    </w:lvl>
  </w:abstractNum>
  <w:abstractNum w:abstractNumId="101">
    <w:nsid w:val="17859F72"/>
    <w:multiLevelType w:val="hybridMultilevel"/>
    <w:lvl w:ilvl="0">
      <w:lvlJc w:val="left"/>
      <w:lvlText w:val="%1."/>
      <w:numFmt w:val="upperLetter"/>
      <w:start w:val="6"/>
    </w:lvl>
  </w:abstractNum>
  <w:abstractNum w:abstractNumId="102">
    <w:nsid w:val="3AA10581"/>
    <w:multiLevelType w:val="hybridMultilevel"/>
    <w:lvl w:ilvl="0">
      <w:lvlJc w:val="left"/>
      <w:lvlText w:val="%1."/>
      <w:numFmt w:val="upperLetter"/>
      <w:start w:val="9"/>
    </w:lvl>
  </w:abstractNum>
  <w:abstractNum w:abstractNumId="103">
    <w:nsid w:val="63DE60CD"/>
    <w:multiLevelType w:val="hybridMultilevel"/>
    <w:lvl w:ilvl="0">
      <w:lvlJc w:val="left"/>
      <w:lvlText w:val="%1."/>
      <w:numFmt w:val="upperLetter"/>
      <w:start w:val="1"/>
    </w:lvl>
  </w:abstractNum>
  <w:abstractNum w:abstractNumId="104">
    <w:nsid w:val="621AF471"/>
    <w:multiLevelType w:val="hybridMultilevel"/>
    <w:lvl w:ilvl="0">
      <w:lvlJc w:val="left"/>
      <w:lvlText w:val="●"/>
      <w:numFmt w:val="bullet"/>
      <w:start w:val="1"/>
    </w:lvl>
  </w:abstractNum>
  <w:abstractNum w:abstractNumId="105">
    <w:nsid w:val="73CFE165"/>
    <w:multiLevelType w:val="hybridMultilevel"/>
    <w:lvl w:ilvl="0">
      <w:lvlJc w:val="left"/>
      <w:lvlText w:val="●"/>
      <w:numFmt w:val="bullet"/>
      <w:start w:val="1"/>
    </w:lvl>
  </w:abstractNum>
  <w:abstractNum w:abstractNumId="106">
    <w:nsid w:val="20F88EA6"/>
    <w:multiLevelType w:val="hybridMultilevel"/>
    <w:lvl w:ilvl="0">
      <w:lvlJc w:val="left"/>
      <w:lvlText w:val="(%1)"/>
      <w:numFmt w:val="decimal"/>
      <w:start w:val="1"/>
    </w:lvl>
  </w:abstractNum>
  <w:abstractNum w:abstractNumId="107">
    <w:nsid w:val="617C843E"/>
    <w:multiLevelType w:val="hybridMultilevel"/>
    <w:lvl w:ilvl="0">
      <w:lvlJc w:val="left"/>
      <w:lvlText w:val="%1"/>
      <w:numFmt w:val="decimal"/>
      <w:start w:val="104"/>
    </w:lvl>
  </w:abstractNum>
  <w:abstractNum w:abstractNumId="108">
    <w:nsid w:val="7B541FAB"/>
    <w:multiLevelType w:val="hybridMultilevel"/>
    <w:lvl w:ilvl="0">
      <w:lvlJc w:val="left"/>
      <w:lvlText w:val="(%1)"/>
      <w:numFmt w:val="lowerRoman"/>
      <w:start w:val="1"/>
    </w:lvl>
  </w:abstractNum>
  <w:abstractNum w:abstractNumId="109">
    <w:nsid w:val="2A79EC49"/>
    <w:multiLevelType w:val="hybridMultilevel"/>
    <w:lvl w:ilvl="0">
      <w:lvlJc w:val="left"/>
      <w:lvlText w:val="%1."/>
      <w:numFmt w:val="decimal"/>
      <w:start w:val="1"/>
    </w:lvl>
  </w:abstractNum>
  <w:abstractNum w:abstractNumId="110">
    <w:nsid w:val="338125CF"/>
    <w:multiLevelType w:val="hybridMultilevel"/>
    <w:lvl w:ilvl="0">
      <w:lvlJc w:val="left"/>
      <w:lvlText w:val="(%1)"/>
      <w:numFmt w:val="lowerLetter"/>
      <w:start w:val="1"/>
    </w:lvl>
  </w:abstractNum>
  <w:abstractNum w:abstractNumId="111">
    <w:nsid w:val="47C7C971"/>
    <w:multiLevelType w:val="hybridMultilevel"/>
    <w:lvl w:ilvl="0">
      <w:lvlJc w:val="left"/>
      <w:lvlText w:val="%1."/>
      <w:numFmt w:val="decimal"/>
      <w:start w:val="1"/>
    </w:lvl>
  </w:abstractNum>
  <w:abstractNum w:abstractNumId="112">
    <w:nsid w:val="46F8284B"/>
    <w:multiLevelType w:val="hybridMultilevel"/>
    <w:lvl w:ilvl="0">
      <w:lvlJc w:val="left"/>
      <w:lvlText w:val="%1."/>
      <w:numFmt w:val="decimal"/>
      <w:start w:val="1"/>
    </w:lvl>
  </w:abstractNum>
  <w:abstractNum w:abstractNumId="113">
    <w:nsid w:val="4FA327CE"/>
    <w:multiLevelType w:val="hybridMultilevel"/>
    <w:lvl w:ilvl="0">
      <w:lvlJc w:val="left"/>
      <w:lvlText w:val="%1."/>
      <w:numFmt w:val="decimal"/>
      <w:start w:val="1"/>
    </w:lvl>
  </w:abstractNum>
  <w:abstractNum w:abstractNumId="114">
    <w:nsid w:val="1873983A"/>
    <w:multiLevelType w:val="hybridMultilevel"/>
    <w:lvl w:ilvl="0">
      <w:lvlJc w:val="left"/>
      <w:lvlText w:val="%1."/>
      <w:numFmt w:val="decimal"/>
      <w:start w:val="1"/>
    </w:lvl>
  </w:abstractNum>
  <w:abstractNum w:abstractNumId="115">
    <w:nsid w:val="3D2DD275"/>
    <w:multiLevelType w:val="hybridMultilevel"/>
    <w:lvl w:ilvl="0">
      <w:lvlJc w:val="left"/>
      <w:lvlText w:val="(%1)"/>
      <w:numFmt w:val="lowerLetter"/>
      <w:start w:val="1"/>
    </w:lvl>
  </w:abstractNum>
  <w:abstractNum w:abstractNumId="116">
    <w:nsid w:val="2E17ECA7"/>
    <w:multiLevelType w:val="hybridMultilevel"/>
    <w:lvl w:ilvl="0">
      <w:lvlJc w:val="left"/>
      <w:lvlText w:val="(%1)"/>
      <w:numFmt w:val="lowerLetter"/>
      <w:start w:val="2"/>
    </w:lvl>
  </w:abstractNum>
  <w:abstractNum w:abstractNumId="117">
    <w:nsid w:val="53B2564F"/>
    <w:multiLevelType w:val="hybridMultilevel"/>
    <w:lvl w:ilvl="0">
      <w:lvlJc w:val="left"/>
      <w:lvlText w:val="%1."/>
      <w:numFmt w:val="decimal"/>
      <w:start w:val="2"/>
    </w:lvl>
  </w:abstractNum>
  <w:abstractNum w:abstractNumId="118">
    <w:nsid w:val="75509D76"/>
    <w:multiLevelType w:val="hybridMultilevel"/>
    <w:lvl w:ilvl="0">
      <w:lvlJc w:val="left"/>
      <w:lvlText w:val="(%1)"/>
      <w:numFmt w:val="lowerLetter"/>
      <w:start w:val="2"/>
    </w:lvl>
  </w:abstractNum>
  <w:abstractNum w:abstractNumId="119">
    <w:nsid w:val="1AF7F0EA"/>
    <w:multiLevelType w:val="hybridMultilevel"/>
    <w:lvl w:ilvl="0">
      <w:lvlJc w:val="left"/>
      <w:lvlText w:val="(%1)"/>
      <w:numFmt w:val="lowerLetter"/>
      <w:start w:val="3"/>
    </w:lvl>
  </w:abstractNum>
  <w:abstractNum w:abstractNumId="120">
    <w:nsid w:val="4DA32C7E"/>
    <w:multiLevelType w:val="hybridMultilevel"/>
    <w:lvl w:ilvl="0">
      <w:lvlJc w:val="left"/>
      <w:lvlText w:val="(%1)"/>
      <w:numFmt w:val="lowerLetter"/>
      <w:start w:val="4"/>
    </w:lvl>
  </w:abstractNum>
  <w:abstractNum w:abstractNumId="121">
    <w:nsid w:val="6EC68664"/>
    <w:multiLevelType w:val="hybridMultilevel"/>
    <w:lvl w:ilvl="0">
      <w:lvlJc w:val="left"/>
      <w:lvlText w:val="%1."/>
      <w:numFmt w:val="decimal"/>
      <w:start w:val="2"/>
    </w:lvl>
  </w:abstractNum>
  <w:abstractNum w:abstractNumId="122">
    <w:nsid w:val="E0D31FF"/>
    <w:multiLevelType w:val="hybridMultilevel"/>
    <w:lvl w:ilvl="0">
      <w:lvlJc w:val="left"/>
      <w:lvlText w:val="(%1)"/>
      <w:numFmt w:val="lowerLetter"/>
      <w:start w:val="5"/>
    </w:lvl>
  </w:abstractNum>
  <w:abstractNum w:abstractNumId="123">
    <w:nsid w:val="2FD0AD81"/>
    <w:multiLevelType w:val="hybridMultilevel"/>
    <w:lvl w:ilvl="0">
      <w:lvlJc w:val="left"/>
      <w:lvlText w:val="(%1)"/>
      <w:numFmt w:val="lowerLetter"/>
      <w:start w:val="6"/>
    </w:lvl>
  </w:abstractNum>
  <w:abstractNum w:abstractNumId="124">
    <w:nsid w:val="1978EBEB"/>
    <w:multiLevelType w:val="hybridMultilevel"/>
    <w:lvl w:ilvl="0">
      <w:lvlJc w:val="left"/>
      <w:lvlText w:val="(%1)"/>
      <w:numFmt w:val="lowerLetter"/>
      <w:start w:val="7"/>
    </w:lvl>
  </w:abstractNum>
  <w:abstractNum w:abstractNumId="125">
    <w:nsid w:val="52C12C61"/>
    <w:multiLevelType w:val="hybridMultilevel"/>
    <w:lvl w:ilvl="0">
      <w:lvlJc w:val="left"/>
      <w:lvlText w:val="(%1)"/>
      <w:numFmt w:val="lowerLetter"/>
      <w:start w:val="8"/>
    </w:lvl>
  </w:abstractNum>
  <w:abstractNum w:abstractNumId="126">
    <w:nsid w:val="4BDD53FD"/>
    <w:multiLevelType w:val="hybridMultilevel"/>
    <w:lvl w:ilvl="0">
      <w:lvlJc w:val="left"/>
      <w:lvlText w:val="%1."/>
      <w:numFmt w:val="decimal"/>
      <w:start w:val="2"/>
    </w:lvl>
  </w:abstractNum>
  <w:abstractNum w:abstractNumId="127">
    <w:nsid w:val="569951FE"/>
    <w:multiLevelType w:val="hybridMultilevel"/>
    <w:lvl w:ilvl="0">
      <w:lvlJc w:val="left"/>
      <w:lvlText w:val="(%1)"/>
      <w:numFmt w:val="lowerRoman"/>
      <w:start w:val="1"/>
    </w:lvl>
  </w:abstractNum>
  <w:abstractNum w:abstractNumId="128">
    <w:nsid w:val="4C54E2C3"/>
    <w:multiLevelType w:val="hybridMultilevel"/>
    <w:lvl w:ilvl="0">
      <w:lvlJc w:val="left"/>
      <w:lvlText w:val="(%1)"/>
      <w:numFmt w:val="lowerLetter"/>
      <w:start w:val="10"/>
    </w:lvl>
  </w:abstractNum>
  <w:abstractNum w:abstractNumId="129">
    <w:nsid w:val="788BD9B"/>
    <w:multiLevelType w:val="hybridMultilevel"/>
    <w:lvl w:ilvl="0">
      <w:lvlJc w:val="left"/>
      <w:lvlText w:val="%1."/>
      <w:numFmt w:val="decimal"/>
      <w:start w:val="2"/>
    </w:lvl>
  </w:abstractNum>
  <w:abstractNum w:abstractNumId="130">
    <w:nsid w:val="47CAA567"/>
    <w:multiLevelType w:val="hybridMultilevel"/>
    <w:lvl w:ilvl="0">
      <w:lvlJc w:val="left"/>
      <w:lvlText w:val="(%1)"/>
      <w:numFmt w:val="lowerLetter"/>
      <w:start w:val="11"/>
    </w:lvl>
  </w:abstractNum>
  <w:abstractNum w:abstractNumId="131">
    <w:nsid w:val="48249DBF"/>
    <w:multiLevelType w:val="hybridMultilevel"/>
    <w:lvl w:ilvl="0">
      <w:lvlJc w:val="left"/>
      <w:lvlText w:val="(%1)"/>
      <w:numFmt w:val="lowerLetter"/>
      <w:start w:val="12"/>
    </w:lvl>
  </w:abstractNum>
  <w:abstractNum w:abstractNumId="132">
    <w:nsid w:val="1F0E5D0D"/>
    <w:multiLevelType w:val="hybridMultilevel"/>
    <w:lvl w:ilvl="0">
      <w:lvlJc w:val="left"/>
      <w:lvlText w:val="(%1)"/>
      <w:numFmt w:val="lowerLetter"/>
      <w:start w:val="13"/>
    </w:lvl>
  </w:abstractNum>
  <w:abstractNum w:abstractNumId="133">
    <w:nsid w:val="26BAAE9"/>
    <w:multiLevelType w:val="hybridMultilevel"/>
    <w:lvl w:ilvl="0">
      <w:lvlJc w:val="left"/>
      <w:lvlText w:val="%1."/>
      <w:numFmt w:val="decimal"/>
      <w:start w:val="2"/>
    </w:lvl>
  </w:abstractNum>
  <w:abstractNum w:abstractNumId="134">
    <w:nsid w:val="2C02FE8C"/>
    <w:multiLevelType w:val="hybridMultilevel"/>
    <w:lvl w:ilvl="0">
      <w:lvlJc w:val="left"/>
      <w:lvlText w:val="(%1)"/>
      <w:numFmt w:val="lowerLetter"/>
      <w:start w:val="14"/>
    </w:lvl>
  </w:abstractNum>
  <w:abstractNum w:abstractNumId="135">
    <w:nsid w:val="129517E"/>
    <w:multiLevelType w:val="hybridMultilevel"/>
    <w:lvl w:ilvl="0">
      <w:lvlJc w:val="left"/>
      <w:lvlText w:val="(%1)"/>
      <w:numFmt w:val="lowerLetter"/>
      <w:start w:val="15"/>
    </w:lvl>
  </w:abstractNum>
  <w:abstractNum w:abstractNumId="136">
    <w:nsid w:val="763B8C4E"/>
    <w:multiLevelType w:val="hybridMultilevel"/>
    <w:lvl w:ilvl="0">
      <w:lvlJc w:val="left"/>
      <w:lvlText w:val="(%1)"/>
      <w:numFmt w:val="lowerRoman"/>
      <w:start w:val="1"/>
    </w:lvl>
  </w:abstractNum>
  <w:abstractNum w:abstractNumId="137">
    <w:nsid w:val="4CFB8D32"/>
    <w:multiLevelType w:val="hybridMultilevel"/>
    <w:lvl w:ilvl="0">
      <w:lvlJc w:val="left"/>
      <w:lvlText w:val="(%1)"/>
      <w:numFmt w:val="lowerRoman"/>
      <w:start w:val="2"/>
    </w:lvl>
  </w:abstractNum>
  <w:abstractNum w:abstractNumId="138">
    <w:nsid w:val="62A5D5BD"/>
    <w:multiLevelType w:val="hybridMultilevel"/>
    <w:lvl w:ilvl="0">
      <w:lvlJc w:val="left"/>
      <w:lvlText w:val="%1."/>
      <w:numFmt w:val="decimal"/>
      <w:start w:val="2"/>
    </w:lvl>
  </w:abstractNum>
  <w:abstractNum w:abstractNumId="139">
    <w:nsid w:val="718FABF9"/>
    <w:multiLevelType w:val="hybridMultilevel"/>
    <w:lvl w:ilvl="0">
      <w:lvlJc w:val="left"/>
      <w:lvlText w:val="(%1)"/>
      <w:numFmt w:val="lowerLetter"/>
      <w:start w:val="16"/>
    </w:lvl>
  </w:abstractNum>
  <w:abstractNum w:abstractNumId="140">
    <w:nsid w:val="7775797C"/>
    <w:multiLevelType w:val="hybridMultilevel"/>
    <w:lvl w:ilvl="0">
      <w:lvlJc w:val="left"/>
      <w:lvlText w:val="(%1)"/>
      <w:numFmt w:val="upperLetter"/>
      <w:start w:val="9"/>
    </w:lvl>
  </w:abstractNum>
  <w:abstractNum w:abstractNumId="141">
    <w:nsid w:val="1626FB8C"/>
    <w:multiLevelType w:val="hybridMultilevel"/>
    <w:lvl w:ilvl="0">
      <w:lvlJc w:val="left"/>
      <w:lvlText w:val="(%1)"/>
      <w:numFmt w:val="upperLetter"/>
      <w:start w:val="35"/>
    </w:lvl>
  </w:abstractNum>
  <w:abstractNum w:abstractNumId="142">
    <w:nsid w:val="3957756A"/>
    <w:multiLevelType w:val="hybridMultilevel"/>
    <w:lvl w:ilvl="0">
      <w:lvlJc w:val="left"/>
      <w:lvlText w:val="(%1)"/>
      <w:numFmt w:val="upperLetter"/>
      <w:start w:val="61"/>
    </w:lvl>
  </w:abstractNum>
  <w:abstractNum w:abstractNumId="143">
    <w:nsid w:val="3E6DA1C7"/>
    <w:multiLevelType w:val="hybridMultilevel"/>
    <w:lvl w:ilvl="0">
      <w:lvlJc w:val="left"/>
      <w:lvlText w:val="%1."/>
      <w:numFmt w:val="decimal"/>
      <w:start w:val="2"/>
    </w:lvl>
  </w:abstractNum>
  <w:abstractNum w:abstractNumId="144">
    <w:nsid w:val="65CA235B"/>
    <w:multiLevelType w:val="hybridMultilevel"/>
    <w:lvl w:ilvl="0">
      <w:lvlJc w:val="left"/>
      <w:lvlText w:val="(%1)"/>
      <w:numFmt w:val="lowerLetter"/>
      <w:start w:val="16"/>
    </w:lvl>
  </w:abstractNum>
  <w:abstractNum w:abstractNumId="145">
    <w:nsid w:val="51CB0DA4"/>
    <w:multiLevelType w:val="hybridMultilevel"/>
    <w:lvl w:ilvl="0">
      <w:lvlJc w:val="left"/>
      <w:lvlText w:val="(%1)"/>
      <w:numFmt w:val="lowerRoman"/>
      <w:start w:val="1"/>
    </w:lvl>
  </w:abstractNum>
  <w:abstractNum w:abstractNumId="146">
    <w:nsid w:val="7B9B743C"/>
    <w:multiLevelType w:val="hybridMultilevel"/>
    <w:lvl w:ilvl="0">
      <w:lvlJc w:val="left"/>
      <w:lvlText w:val="(%1)"/>
      <w:numFmt w:val="lowerRoman"/>
      <w:start w:val="2"/>
    </w:lvl>
  </w:abstractNum>
  <w:abstractNum w:abstractNumId="147">
    <w:nsid w:val="13E21002"/>
    <w:multiLevelType w:val="hybridMultilevel"/>
    <w:lvl w:ilvl="0">
      <w:lvlJc w:val="left"/>
      <w:lvlText w:val="(%1)"/>
      <w:numFmt w:val="lowerLetter"/>
      <w:start w:val="17"/>
    </w:lvl>
  </w:abstractNum>
  <w:abstractNum w:abstractNumId="148">
    <w:nsid w:val="257D63F4"/>
    <w:multiLevelType w:val="hybridMultilevel"/>
    <w:lvl w:ilvl="0">
      <w:lvlJc w:val="left"/>
      <w:lvlText w:val="(%1)"/>
      <w:numFmt w:val="lowerLetter"/>
      <w:start w:val="18"/>
    </w:lvl>
  </w:abstractNum>
  <w:abstractNum w:abstractNumId="149">
    <w:nsid w:val="70EC11B2"/>
    <w:multiLevelType w:val="hybridMultilevel"/>
    <w:lvl w:ilvl="0">
      <w:lvlJc w:val="left"/>
      <w:lvlText w:val="(%1)"/>
      <w:numFmt w:val="lowerLetter"/>
      <w:start w:val="19"/>
    </w:lvl>
  </w:abstractNum>
  <w:abstractNum w:abstractNumId="150">
    <w:nsid w:val="2EDA00ED"/>
    <w:multiLevelType w:val="hybridMultilevel"/>
    <w:lvl w:ilvl="0">
      <w:lvlJc w:val="left"/>
      <w:lvlText w:val="%1."/>
      <w:numFmt w:val="decimal"/>
      <w:start w:val="2"/>
    </w:lvl>
  </w:abstractNum>
  <w:abstractNum w:abstractNumId="151">
    <w:nsid w:val="73209072"/>
    <w:multiLevelType w:val="hybridMultilevel"/>
    <w:lvl w:ilvl="0">
      <w:lvlJc w:val="left"/>
      <w:lvlText w:val="(%1)"/>
      <w:numFmt w:val="lowerLetter"/>
      <w:start w:val="20"/>
    </w:lvl>
  </w:abstractNum>
  <w:abstractNum w:abstractNumId="152">
    <w:nsid w:val="5FB29816"/>
    <w:multiLevelType w:val="hybridMultilevel"/>
    <w:lvl w:ilvl="0">
      <w:lvlJc w:val="left"/>
      <w:lvlText w:val="(%1)"/>
      <w:numFmt w:val="lowerLetter"/>
      <w:start w:val="21"/>
    </w:lvl>
  </w:abstractNum>
  <w:abstractNum w:abstractNumId="153">
    <w:nsid w:val="3CE732EC"/>
    <w:multiLevelType w:val="hybridMultilevel"/>
    <w:lvl w:ilvl="0">
      <w:lvlJc w:val="left"/>
      <w:lvlText w:val="(%1)"/>
      <w:numFmt w:val="lowerRoman"/>
      <w:start w:val="5"/>
    </w:lvl>
  </w:abstractNum>
  <w:abstractNum w:abstractNumId="154">
    <w:nsid w:val="22F13DF3"/>
    <w:multiLevelType w:val="hybridMultilevel"/>
    <w:lvl w:ilvl="0">
      <w:lvlJc w:val="left"/>
      <w:lvlText w:val="%1."/>
      <w:numFmt w:val="decimal"/>
      <w:start w:val="2"/>
    </w:lvl>
  </w:abstractNum>
  <w:abstractNum w:abstractNumId="155">
    <w:nsid w:val="792B8401"/>
    <w:multiLevelType w:val="hybridMultilevel"/>
    <w:lvl w:ilvl="0">
      <w:lvlJc w:val="left"/>
      <w:lvlText w:val="(%1)"/>
      <w:numFmt w:val="lowerLetter"/>
      <w:start w:val="23"/>
    </w:lvl>
  </w:abstractNum>
  <w:abstractNum w:abstractNumId="156">
    <w:nsid w:val="FA85F4D"/>
    <w:multiLevelType w:val="hybridMultilevel"/>
    <w:lvl w:ilvl="0">
      <w:lvlJc w:val="left"/>
      <w:lvlText w:val="(%1)"/>
      <w:numFmt w:val="lowerRoman"/>
      <w:start w:val="10"/>
    </w:lvl>
  </w:abstractNum>
  <w:abstractNum w:abstractNumId="157">
    <w:nsid w:val="6ECE91F0"/>
    <w:multiLevelType w:val="hybridMultilevel"/>
    <w:lvl w:ilvl="0">
      <w:lvlJc w:val="left"/>
      <w:lvlText w:val="%1."/>
      <w:numFmt w:val="decimal"/>
      <w:start w:val="2"/>
    </w:lvl>
  </w:abstractNum>
  <w:abstractNum w:abstractNumId="158">
    <w:nsid w:val="4FC4D600"/>
    <w:multiLevelType w:val="hybridMultilevel"/>
    <w:lvl w:ilvl="0">
      <w:lvlJc w:val="left"/>
      <w:lvlText w:val="(%1)"/>
      <w:numFmt w:val="lowerRoman"/>
      <w:start w:val="10"/>
    </w:lvl>
  </w:abstractNum>
  <w:abstractNum w:abstractNumId="159">
    <w:nsid w:val="5BFD4210"/>
    <w:multiLevelType w:val="hybridMultilevel"/>
    <w:lvl w:ilvl="0">
      <w:lvlJc w:val="left"/>
      <w:lvlText w:val="(%1)"/>
      <w:numFmt w:val="lowerLetter"/>
      <w:start w:val="1"/>
    </w:lvl>
  </w:abstractNum>
  <w:abstractNum w:abstractNumId="160">
    <w:nsid w:val="76574F8B"/>
    <w:multiLevelType w:val="hybridMultilevel"/>
    <w:lvl w:ilvl="0">
      <w:lvlJc w:val="left"/>
      <w:lvlText w:val="%1."/>
      <w:numFmt w:val="decimal"/>
      <w:start w:val="2"/>
    </w:lvl>
  </w:abstractNum>
  <w:abstractNum w:abstractNumId="161">
    <w:nsid w:val="178F7B67"/>
    <w:multiLevelType w:val="hybridMultilevel"/>
    <w:lvl w:ilvl="0">
      <w:lvlJc w:val="left"/>
      <w:lvlText w:val="(%1)"/>
      <w:numFmt w:val="lowerRoman"/>
      <w:start w:val="10"/>
    </w:lvl>
  </w:abstractNum>
  <w:abstractNum w:abstractNumId="162">
    <w:nsid w:val="2421DFCF"/>
    <w:multiLevelType w:val="hybridMultilevel"/>
    <w:lvl w:ilvl="0">
      <w:lvlJc w:val="left"/>
      <w:lvlText w:val="(%1)"/>
      <w:numFmt w:val="lowerLetter"/>
      <w:start w:val="1"/>
    </w:lvl>
  </w:abstractNum>
  <w:abstractNum w:abstractNumId="163">
    <w:nsid w:val="1565AC99"/>
    <w:multiLevelType w:val="hybridMultilevel"/>
    <w:lvl w:ilvl="0">
      <w:lvlJc w:val="left"/>
      <w:lvlText w:val="(%1)"/>
      <w:numFmt w:val="lowerLetter"/>
      <w:start w:val="25"/>
    </w:lvl>
  </w:abstractNum>
  <w:abstractNum w:abstractNumId="164">
    <w:nsid w:val="19FB2650"/>
    <w:multiLevelType w:val="hybridMultilevel"/>
    <w:lvl w:ilvl="0">
      <w:lvlJc w:val="left"/>
      <w:lvlText w:val="%1."/>
      <w:numFmt w:val="decimal"/>
      <w:start w:val="2"/>
    </w:lvl>
  </w:abstractNum>
  <w:abstractNum w:abstractNumId="165">
    <w:nsid w:val="5024DE5B"/>
    <w:multiLevelType w:val="hybridMultilevel"/>
    <w:lvl w:ilvl="0">
      <w:lvlJc w:val="left"/>
      <w:lvlText w:val="(%1)"/>
      <w:numFmt w:val="lowerLetter"/>
      <w:start w:val="26"/>
    </w:lvl>
  </w:abstractNum>
  <w:abstractNum w:abstractNumId="166">
    <w:nsid w:val="168EFE17"/>
    <w:multiLevelType w:val="hybridMultilevel"/>
    <w:lvl w:ilvl="0">
      <w:lvlJc w:val="left"/>
      <w:lvlText w:val="(%1)"/>
      <w:numFmt w:val="lowerLetter"/>
      <w:start w:val="27"/>
    </w:lvl>
  </w:abstractNum>
  <w:abstractNum w:abstractNumId="167">
    <w:nsid w:val="1036B29F"/>
    <w:multiLevelType w:val="hybridMultilevel"/>
    <w:lvl w:ilvl="0">
      <w:lvlJc w:val="left"/>
      <w:lvlText w:val="(%1)"/>
      <w:numFmt w:val="lowerLetter"/>
      <w:start w:val="28"/>
    </w:lvl>
  </w:abstractNum>
  <w:abstractNum w:abstractNumId="168">
    <w:nsid w:val="1D206B8E"/>
    <w:multiLevelType w:val="hybridMultilevel"/>
    <w:lvl w:ilvl="0">
      <w:lvlJc w:val="left"/>
      <w:lvlText w:val="(%1)"/>
      <w:numFmt w:val="lowerLetter"/>
      <w:start w:val="29"/>
    </w:lvl>
  </w:abstractNum>
  <w:abstractNum w:abstractNumId="169">
    <w:nsid w:val="7934D3D4"/>
    <w:multiLevelType w:val="hybridMultilevel"/>
    <w:lvl w:ilvl="0">
      <w:lvlJc w:val="left"/>
      <w:lvlText w:val="%1."/>
      <w:numFmt w:val="decimal"/>
      <w:start w:val="2"/>
    </w:lvl>
  </w:abstractNum>
  <w:abstractNum w:abstractNumId="170">
    <w:nsid w:val="1C65E98"/>
    <w:multiLevelType w:val="hybridMultilevel"/>
    <w:lvl w:ilvl="0">
      <w:lvlJc w:val="left"/>
      <w:lvlText w:val="(%1)"/>
      <w:numFmt w:val="lowerLetter"/>
      <w:start w:val="29"/>
    </w:lvl>
  </w:abstractNum>
  <w:abstractNum w:abstractNumId="171">
    <w:nsid w:val="1495E50A"/>
    <w:multiLevelType w:val="hybridMultilevel"/>
    <w:lvl w:ilvl="0">
      <w:lvlJc w:val="left"/>
      <w:lvlText w:val="%1."/>
      <w:numFmt w:val="decimal"/>
      <w:start w:val="3"/>
    </w:lvl>
  </w:abstractNum>
  <w:abstractNum w:abstractNumId="172">
    <w:nsid w:val="F5BCF61"/>
    <w:multiLevelType w:val="hybridMultilevel"/>
    <w:lvl w:ilvl="0">
      <w:lvlJc w:val="left"/>
      <w:lvlText w:val="%1."/>
      <w:numFmt w:val="decimal"/>
      <w:start w:val="3"/>
    </w:lvl>
  </w:abstractNum>
  <w:abstractNum w:abstractNumId="173">
    <w:nsid w:val="3B1DD403"/>
    <w:multiLevelType w:val="hybridMultilevel"/>
    <w:lvl w:ilvl="0">
      <w:lvlJc w:val="left"/>
      <w:lvlText w:val="%1."/>
      <w:numFmt w:val="decimal"/>
      <w:start w:val="3"/>
    </w:lvl>
  </w:abstractNum>
  <w:abstractNum w:abstractNumId="174">
    <w:nsid w:val="530386D1"/>
    <w:multiLevelType w:val="hybridMultilevel"/>
    <w:lvl w:ilvl="0">
      <w:lvlJc w:val="left"/>
      <w:lvlText w:val="%1."/>
      <w:numFmt w:val="decimal"/>
      <w:start w:val="5"/>
    </w:lvl>
  </w:abstractNum>
  <w:abstractNum w:abstractNumId="175">
    <w:nsid w:val="7525F2BC"/>
    <w:multiLevelType w:val="hybridMultilevel"/>
    <w:lvl w:ilvl="0">
      <w:lvlJc w:val="left"/>
      <w:lvlText w:val="%1."/>
      <w:numFmt w:val="decimal"/>
      <w:start w:val="7"/>
    </w:lvl>
  </w:abstractNum>
  <w:abstractNum w:abstractNumId="176">
    <w:nsid w:val="CE8E1A7"/>
    <w:multiLevelType w:val="hybridMultilevel"/>
    <w:lvl w:ilvl="0">
      <w:lvlJc w:val="left"/>
      <w:lvlText w:val="(%1)"/>
      <w:numFmt w:val="lowerLetter"/>
      <w:start w:val="1"/>
    </w:lvl>
  </w:abstractNum>
  <w:abstractNum w:abstractNumId="177">
    <w:nsid w:val="4E9EFB0D"/>
    <w:multiLevelType w:val="hybridMultilevel"/>
    <w:lvl w:ilvl="0">
      <w:lvlJc w:val="left"/>
      <w:lvlText w:val="%1."/>
      <w:numFmt w:val="decimal"/>
      <w:start w:val="11"/>
    </w:lvl>
  </w:abstractNum>
  <w:abstractNum w:abstractNumId="178">
    <w:nsid w:val="90802BE"/>
    <w:multiLevelType w:val="hybridMultilevel"/>
    <w:lvl w:ilvl="0">
      <w:lvlJc w:val="left"/>
      <w:lvlText w:val="(%1)"/>
      <w:numFmt w:val="lowerLetter"/>
      <w:start w:val="1"/>
    </w:lvl>
  </w:abstractNum>
  <w:abstractNum w:abstractNumId="179">
    <w:nsid w:val="3266459B"/>
    <w:multiLevelType w:val="hybridMultilevel"/>
    <w:lvl w:ilvl="0">
      <w:lvlJc w:val="left"/>
      <w:lvlText w:val="%1."/>
      <w:numFmt w:val="decimal"/>
      <w:start w:val="11"/>
    </w:lvl>
  </w:abstractNum>
  <w:abstractNum w:abstractNumId="180">
    <w:nsid w:val="3F8B0CBF"/>
    <w:multiLevelType w:val="hybridMultilevel"/>
    <w:lvl w:ilvl="0">
      <w:lvlJc w:val="left"/>
      <w:lvlText w:val="(%1)"/>
      <w:numFmt w:val="lowerLetter"/>
      <w:start w:val="1"/>
    </w:lvl>
  </w:abstractNum>
  <w:abstractNum w:abstractNumId="181">
    <w:nsid w:val="37E203AB"/>
    <w:multiLevelType w:val="hybridMultilevel"/>
    <w:lvl w:ilvl="0">
      <w:lvlJc w:val="left"/>
      <w:lvlText w:val="%1."/>
      <w:numFmt w:val="decimal"/>
      <w:start w:val="12"/>
    </w:lvl>
  </w:abstractNum>
  <w:abstractNum w:abstractNumId="182">
    <w:nsid w:val="2586D60E"/>
    <w:multiLevelType w:val="hybridMultilevel"/>
    <w:lvl w:ilvl="0">
      <w:lvlJc w:val="left"/>
      <w:lvlText w:val="(%1)"/>
      <w:numFmt w:val="lowerLetter"/>
      <w:start w:val="1"/>
    </w:lvl>
  </w:abstractNum>
  <w:abstractNum w:abstractNumId="183">
    <w:nsid w:val="1F3DA4D5"/>
    <w:multiLevelType w:val="hybridMultilevel"/>
    <w:lvl w:ilvl="0">
      <w:lvlJc w:val="left"/>
      <w:lvlText w:val="%1."/>
      <w:numFmt w:val="decimal"/>
      <w:start w:val="13"/>
    </w:lvl>
  </w:abstractNum>
  <w:abstractNum w:abstractNumId="184">
    <w:nsid w:val="74C93698"/>
    <w:multiLevelType w:val="hybridMultilevel"/>
    <w:lvl w:ilvl="0">
      <w:lvlJc w:val="left"/>
      <w:lvlText w:val="(%1)"/>
      <w:numFmt w:val="lowerLetter"/>
      <w:start w:val="3"/>
    </w:lvl>
  </w:abstractNum>
  <w:abstractNum w:abstractNumId="185">
    <w:nsid w:val="48781401"/>
    <w:multiLevelType w:val="hybridMultilevel"/>
    <w:lvl w:ilvl="0">
      <w:lvlJc w:val="left"/>
      <w:lvlText w:val="%1."/>
      <w:numFmt w:val="decimal"/>
      <w:start w:val="14"/>
    </w:lvl>
  </w:abstractNum>
  <w:abstractNum w:abstractNumId="186">
    <w:nsid w:val="186928D6"/>
    <w:multiLevelType w:val="hybridMultilevel"/>
    <w:lvl w:ilvl="0">
      <w:lvlJc w:val="left"/>
      <w:lvlText w:val="%1."/>
      <w:numFmt w:val="decimal"/>
      <w:start w:val="15"/>
    </w:lvl>
  </w:abstractNum>
  <w:abstractNum w:abstractNumId="187">
    <w:nsid w:val="47195E5"/>
    <w:multiLevelType w:val="hybridMultilevel"/>
    <w:lvl w:ilvl="0">
      <w:lvlJc w:val="left"/>
      <w:lvlText w:val="(%1)"/>
      <w:numFmt w:val="lowerLetter"/>
      <w:start w:val="1"/>
    </w:lvl>
  </w:abstractNum>
  <w:abstractNum w:abstractNumId="188">
    <w:nsid w:val="3746A5F2"/>
    <w:multiLevelType w:val="hybridMultilevel"/>
    <w:lvl w:ilvl="0">
      <w:lvlJc w:val="left"/>
      <w:lvlText w:val="%1."/>
      <w:numFmt w:val="decimal"/>
      <w:start w:val="16"/>
    </w:lvl>
  </w:abstractNum>
  <w:abstractNum w:abstractNumId="189">
    <w:nsid w:val="682DFED6"/>
    <w:multiLevelType w:val="hybridMultilevel"/>
    <w:lvl w:ilvl="0">
      <w:lvlJc w:val="left"/>
      <w:lvlText w:val="(%1)"/>
      <w:numFmt w:val="lowerLetter"/>
      <w:start w:val="2"/>
    </w:lvl>
  </w:abstractNum>
  <w:abstractNum w:abstractNumId="190">
    <w:nsid w:val="606ED7F6"/>
    <w:multiLevelType w:val="hybridMultilevel"/>
    <w:lvl w:ilvl="0">
      <w:lvlJc w:val="left"/>
      <w:lvlText w:val="%1."/>
      <w:numFmt w:val="decimal"/>
      <w:start w:val="17"/>
    </w:lvl>
  </w:abstractNum>
  <w:abstractNum w:abstractNumId="191">
    <w:nsid w:val="2D9DF57D"/>
    <w:multiLevelType w:val="hybridMultilevel"/>
    <w:lvl w:ilvl="0">
      <w:lvlJc w:val="left"/>
      <w:lvlText w:val="%1."/>
      <w:numFmt w:val="decimal"/>
      <w:start w:val="18"/>
    </w:lvl>
  </w:abstractNum>
  <w:abstractNum w:abstractNumId="192">
    <w:nsid w:val="7FBD7A3E"/>
    <w:multiLevelType w:val="hybridMultilevel"/>
    <w:lvl w:ilvl="0">
      <w:lvlJc w:val="left"/>
      <w:lvlText w:val="%1."/>
      <w:numFmt w:val="decimal"/>
      <w:start w:val="19"/>
    </w:lvl>
  </w:abstractNum>
  <w:abstractNum w:abstractNumId="193">
    <w:nsid w:val="490B7C5"/>
    <w:multiLevelType w:val="hybridMultilevel"/>
    <w:lvl w:ilvl="0">
      <w:lvlJc w:val="left"/>
      <w:lvlText w:val="%1."/>
      <w:numFmt w:val="decimal"/>
      <w:start w:val="19"/>
    </w:lvl>
  </w:abstractNum>
  <w:abstractNum w:abstractNumId="194">
    <w:nsid w:val="4303A216"/>
    <w:multiLevelType w:val="hybridMultilevel"/>
    <w:lvl w:ilvl="0">
      <w:lvlJc w:val="left"/>
      <w:lvlText w:val="%1."/>
      <w:numFmt w:val="decimal"/>
      <w:start w:val="19"/>
    </w:lvl>
  </w:abstractNum>
  <w:abstractNum w:abstractNumId="195">
    <w:nsid w:val="19B8A08E"/>
    <w:multiLevelType w:val="hybridMultilevel"/>
    <w:lvl w:ilvl="0">
      <w:lvlJc w:val="left"/>
      <w:lvlText w:val="(%1)"/>
      <w:numFmt w:val="lowerRoman"/>
      <w:start w:val="1"/>
    </w:lvl>
  </w:abstractNum>
  <w:abstractNum w:abstractNumId="196">
    <w:nsid w:val="54B59621"/>
    <w:multiLevelType w:val="hybridMultilevel"/>
    <w:lvl w:ilvl="0">
      <w:lvlJc w:val="left"/>
      <w:lvlText w:val="%1."/>
      <w:numFmt w:val="decimal"/>
      <w:start w:val="22"/>
    </w:lvl>
  </w:abstractNum>
  <w:abstractNum w:abstractNumId="197">
    <w:nsid w:val="5992A02E"/>
    <w:multiLevelType w:val="hybridMultilevel"/>
    <w:lvl w:ilvl="0">
      <w:lvlJc w:val="left"/>
      <w:lvlText w:val="(%1)"/>
      <w:numFmt w:val="lowerRoman"/>
      <w:start w:val="1"/>
    </w:lvl>
  </w:abstractNum>
  <w:abstractNum w:abstractNumId="198">
    <w:nsid w:val="29EF532D"/>
    <w:multiLevelType w:val="hybridMultilevel"/>
    <w:lvl w:ilvl="0">
      <w:lvlJc w:val="left"/>
      <w:lvlText w:val="(%1)"/>
      <w:numFmt w:val="lowerRoman"/>
      <w:start w:val="2"/>
    </w:lvl>
  </w:abstractNum>
  <w:abstractNum w:abstractNumId="199">
    <w:nsid w:val="71D601AF"/>
    <w:multiLevelType w:val="hybridMultilevel"/>
    <w:lvl w:ilvl="0">
      <w:lvlJc w:val="left"/>
      <w:lvlText w:val="(%1)"/>
      <w:numFmt w:val="lowerRoman"/>
      <w:start w:val="3"/>
    </w:lvl>
  </w:abstractNum>
  <w:abstractNum w:abstractNumId="200">
    <w:nsid w:val="52C77402"/>
    <w:multiLevelType w:val="hybridMultilevel"/>
    <w:lvl w:ilvl="0">
      <w:lvlJc w:val="left"/>
      <w:lvlText w:val="(%1)"/>
      <w:numFmt w:val="lowerRoman"/>
      <w:start w:val="4"/>
    </w:lvl>
  </w:abstractNum>
  <w:abstractNum w:abstractNumId="201">
    <w:nsid w:val="2BB5B1C6"/>
    <w:multiLevelType w:val="hybridMultilevel"/>
    <w:lvl w:ilvl="0">
      <w:lvlJc w:val="left"/>
      <w:lvlText w:val="%1."/>
      <w:numFmt w:val="decimal"/>
      <w:start w:val="22"/>
    </w:lvl>
  </w:abstractNum>
  <w:abstractNum w:abstractNumId="202">
    <w:nsid w:val="66BE6B9"/>
    <w:multiLevelType w:val="hybridMultilevel"/>
    <w:lvl w:ilvl="0">
      <w:lvlJc w:val="left"/>
      <w:lvlText w:val="(%1)"/>
      <w:numFmt w:val="lowerRoman"/>
      <w:start w:val="5"/>
    </w:lvl>
  </w:abstractNum>
  <w:abstractNum w:abstractNumId="203">
    <w:nsid w:val="62234363"/>
    <w:multiLevelType w:val="hybridMultilevel"/>
    <w:lvl w:ilvl="0">
      <w:lvlJc w:val="left"/>
      <w:lvlText w:val="%1."/>
      <w:numFmt w:val="decimal"/>
      <w:start w:val="22"/>
    </w:lvl>
  </w:abstractNum>
  <w:abstractNum w:abstractNumId="204">
    <w:nsid w:val="66D385C9"/>
    <w:multiLevelType w:val="hybridMultilevel"/>
    <w:lvl w:ilvl="0">
      <w:lvlJc w:val="left"/>
      <w:lvlText w:val="(%1)"/>
      <w:numFmt w:val="lowerRoman"/>
      <w:start w:val="5"/>
    </w:lvl>
  </w:abstractNum>
  <w:abstractNum w:abstractNumId="205">
    <w:nsid w:val="596F6D8A"/>
    <w:multiLevelType w:val="hybridMultilevel"/>
    <w:lvl w:ilvl="0">
      <w:lvlJc w:val="left"/>
      <w:lvlText w:val="%1."/>
      <w:numFmt w:val="decimal"/>
      <w:start w:val="22"/>
    </w:lvl>
  </w:abstractNum>
  <w:abstractNum w:abstractNumId="206">
    <w:nsid w:val="5749361F"/>
    <w:multiLevelType w:val="hybridMultilevel"/>
    <w:lvl w:ilvl="0">
      <w:lvlJc w:val="left"/>
      <w:lvlText w:val="(%1)"/>
      <w:numFmt w:val="lowerRoman"/>
      <w:start w:val="5"/>
    </w:lvl>
  </w:abstractNum>
  <w:abstractNum w:abstractNumId="207">
    <w:nsid w:val="73BC6770"/>
    <w:multiLevelType w:val="hybridMultilevel"/>
    <w:lvl w:ilvl="0">
      <w:lvlJc w:val="left"/>
      <w:lvlText w:val="%1."/>
      <w:numFmt w:val="decimal"/>
      <w:start w:val="23"/>
    </w:lvl>
  </w:abstractNum>
  <w:abstractNum w:abstractNumId="208">
    <w:nsid w:val="280E6897"/>
    <w:multiLevelType w:val="hybridMultilevel"/>
    <w:lvl w:ilvl="0">
      <w:lvlJc w:val="left"/>
      <w:lvlText w:val="%1."/>
      <w:numFmt w:val="decimal"/>
      <w:start w:val="24"/>
    </w:lvl>
  </w:abstractNum>
  <w:abstractNum w:abstractNumId="209">
    <w:nsid w:val="605138DE"/>
    <w:multiLevelType w:val="hybridMultilevel"/>
    <w:lvl w:ilvl="0">
      <w:lvlJc w:val="left"/>
      <w:lvlText w:val="(%1)"/>
      <w:numFmt w:val="lowerLetter"/>
      <w:start w:val="1"/>
    </w:lvl>
  </w:abstractNum>
  <w:abstractNum w:abstractNumId="210">
    <w:nsid w:val="2622AD0C"/>
    <w:multiLevelType w:val="hybridMultilevel"/>
    <w:lvl w:ilvl="0">
      <w:lvlJc w:val="left"/>
      <w:lvlText w:val="%1."/>
      <w:numFmt w:val="decimal"/>
      <w:start w:val="24"/>
    </w:lvl>
  </w:abstractNum>
  <w:abstractNum w:abstractNumId="211">
    <w:nsid w:val="67997556"/>
    <w:multiLevelType w:val="hybridMultilevel"/>
    <w:lvl w:ilvl="0">
      <w:lvlJc w:val="left"/>
      <w:lvlText w:val="%1."/>
      <w:numFmt w:val="decimal"/>
      <w:start w:val="25"/>
    </w:lvl>
  </w:abstractNum>
  <w:abstractNum w:abstractNumId="212">
    <w:nsid w:val="18333C89"/>
    <w:multiLevelType w:val="hybridMultilevel"/>
    <w:lvl w:ilvl="0">
      <w:lvlJc w:val="left"/>
      <w:lvlText w:val="%1."/>
      <w:numFmt w:val="decimal"/>
      <w:start w:val="25"/>
    </w:lvl>
  </w:abstractNum>
  <w:abstractNum w:abstractNumId="213">
    <w:nsid w:val="4BA9831A"/>
    <w:multiLevelType w:val="hybridMultilevel"/>
    <w:lvl w:ilvl="0">
      <w:lvlJc w:val="left"/>
      <w:lvlText w:val="%1."/>
      <w:numFmt w:val="decimal"/>
      <w:start w:val="26"/>
    </w:lvl>
  </w:abstractNum>
  <w:abstractNum w:abstractNumId="214">
    <w:nsid w:val="6D71A2B"/>
    <w:multiLevelType w:val="hybridMultilevel"/>
    <w:lvl w:ilvl="0">
      <w:lvlJc w:val="left"/>
      <w:lvlText w:val="%1."/>
      <w:numFmt w:val="decimal"/>
      <w:start w:val="26"/>
    </w:lvl>
  </w:abstractNum>
  <w:abstractNum w:abstractNumId="215">
    <w:nsid w:val="CFC7321"/>
    <w:multiLevelType w:val="hybridMultilevel"/>
    <w:lvl w:ilvl="0">
      <w:lvlJc w:val="left"/>
      <w:lvlText w:val="%1."/>
      <w:numFmt w:val="decimal"/>
      <w:start w:val="27"/>
    </w:lvl>
  </w:abstractNum>
  <w:abstractNum w:abstractNumId="216">
    <w:nsid w:val="1421971B"/>
    <w:multiLevelType w:val="hybridMultilevel"/>
    <w:lvl w:ilvl="0">
      <w:lvlJc w:val="left"/>
      <w:lvlText w:val="%1."/>
      <w:numFmt w:val="decimal"/>
      <w:start w:val="27"/>
    </w:lvl>
  </w:abstractNum>
  <w:abstractNum w:abstractNumId="217">
    <w:nsid w:val="1F404301"/>
    <w:multiLevelType w:val="hybridMultilevel"/>
    <w:lvl w:ilvl="0">
      <w:lvlJc w:val="left"/>
      <w:lvlText w:val="%1."/>
      <w:numFmt w:val="decimal"/>
      <w:start w:val="28"/>
    </w:lvl>
  </w:abstractNum>
  <w:abstractNum w:abstractNumId="218">
    <w:nsid w:val="116E0907"/>
    <w:multiLevelType w:val="hybridMultilevel"/>
    <w:lvl w:ilvl="0">
      <w:lvlJc w:val="left"/>
      <w:lvlText w:val="%1."/>
      <w:numFmt w:val="decimal"/>
      <w:start w:val="29"/>
    </w:lvl>
  </w:abstractNum>
  <w:abstractNum w:abstractNumId="219">
    <w:nsid w:val="4B683D0D"/>
    <w:multiLevelType w:val="hybridMultilevel"/>
    <w:lvl w:ilvl="0">
      <w:lvlJc w:val="left"/>
      <w:lvlText w:val="%1."/>
      <w:numFmt w:val="decimal"/>
      <w:start w:val="29"/>
    </w:lvl>
  </w:abstractNum>
  <w:abstractNum w:abstractNumId="220">
    <w:nsid w:val="76E41D8"/>
    <w:multiLevelType w:val="hybridMultilevel"/>
    <w:lvl w:ilvl="0">
      <w:lvlJc w:val="left"/>
      <w:lvlText w:val="*"/>
      <w:numFmt w:val="bullet"/>
      <w:start w:val="1"/>
    </w:lvl>
  </w:abstractNum>
  <w:abstractNum w:abstractNumId="221">
    <w:nsid w:val="71DCE0FD"/>
    <w:multiLevelType w:val="hybridMultilevel"/>
    <w:lvl w:ilvl="0">
      <w:lvlJc w:val="left"/>
      <w:lvlText w:val="(%1)"/>
      <w:numFmt w:val="decimal"/>
      <w:start w:val="2"/>
    </w:lvl>
  </w:abstractNum>
  <w:abstractNum w:abstractNumId="222">
    <w:nsid w:val="7906328B"/>
    <w:multiLevelType w:val="hybridMultilevel"/>
    <w:lvl w:ilvl="0">
      <w:lvlJc w:val="left"/>
      <w:lvlText w:val="·"/>
      <w:numFmt w:val="bullet"/>
      <w:start w:val="1"/>
    </w:lvl>
  </w:abstractNum>
  <w:abstractNum w:abstractNumId="223">
    <w:nsid w:val="72BBC16"/>
    <w:multiLevelType w:val="hybridMultilevel"/>
    <w:lvl w:ilvl="0">
      <w:lvlJc w:val="left"/>
      <w:lvlText w:val="·"/>
      <w:numFmt w:val="bullet"/>
      <w:start w:val="1"/>
    </w:lvl>
  </w:abstractNum>
  <w:abstractNum w:abstractNumId="224">
    <w:nsid w:val="766D98C2"/>
    <w:multiLevelType w:val="hybridMultilevel"/>
    <w:lvl w:ilvl="0">
      <w:lvlJc w:val="left"/>
      <w:lvlText w:val="·"/>
      <w:numFmt w:val="bullet"/>
      <w:start w:val="1"/>
    </w:lvl>
  </w:abstractNum>
  <w:abstractNum w:abstractNumId="225">
    <w:nsid w:val="3C09D4A1"/>
    <w:multiLevelType w:val="hybridMultilevel"/>
    <w:lvl w:ilvl="0">
      <w:lvlJc w:val="left"/>
      <w:lvlText w:val="(%1)"/>
      <w:numFmt w:val="lowerLetter"/>
      <w:start w:val="1"/>
    </w:lvl>
  </w:abstractNum>
  <w:abstractNum w:abstractNumId="226">
    <w:nsid w:val="20E45CA4"/>
    <w:multiLevelType w:val="hybridMultilevel"/>
    <w:lvl w:ilvl="0">
      <w:lvlJc w:val="left"/>
      <w:lvlText w:val="(%1)"/>
      <w:numFmt w:val="lowerLetter"/>
      <w:start w:val="1"/>
    </w:lvl>
  </w:abstractNum>
  <w:abstractNum w:abstractNumId="227">
    <w:nsid w:val="4B232EE3"/>
    <w:multiLevelType w:val="hybridMultilevel"/>
    <w:lvl w:ilvl="0">
      <w:lvlJc w:val="left"/>
      <w:lvlText w:val="(%1)"/>
      <w:numFmt w:val="lowerLetter"/>
      <w:start w:val="3"/>
    </w:lvl>
  </w:abstractNum>
  <w:abstractNum w:abstractNumId="228">
    <w:nsid w:val="159C74CF"/>
    <w:multiLevelType w:val="hybridMultilevel"/>
    <w:lvl w:ilvl="0">
      <w:lvlJc w:val="left"/>
      <w:lvlText w:val="(%1)"/>
      <w:numFmt w:val="lowerLetter"/>
      <w:start w:val="1"/>
    </w:lvl>
  </w:abstractNum>
  <w:abstractNum w:abstractNumId="229">
    <w:nsid w:val="4AD3AFD2"/>
    <w:multiLevelType w:val="hybridMultilevel"/>
    <w:lvl w:ilvl="0">
      <w:lvlJc w:val="left"/>
      <w:lvlText w:val="●"/>
      <w:numFmt w:val="bullet"/>
      <w:start w:val="1"/>
    </w:lvl>
    <w:lvl w:ilvl="1">
      <w:lvlJc w:val="left"/>
      <w:lvlText w:val="(%2)"/>
      <w:numFmt w:val="lowerRoman"/>
      <w:start w:val="1"/>
    </w:lvl>
  </w:abstractNum>
  <w:abstractNum w:abstractNumId="230">
    <w:nsid w:val="3CF93092"/>
    <w:multiLevelType w:val="hybridMultilevel"/>
    <w:lvl w:ilvl="0">
      <w:lvlJc w:val="left"/>
      <w:lvlText w:val="●"/>
      <w:numFmt w:val="bullet"/>
      <w:start w:val="1"/>
    </w:lvl>
  </w:abstractNum>
  <w:abstractNum w:abstractNumId="231">
    <w:nsid w:val="6863E8D2"/>
    <w:multiLevelType w:val="hybridMultilevel"/>
    <w:lvl w:ilvl="0">
      <w:lvlJc w:val="left"/>
      <w:lvlText w:val="(%1)"/>
      <w:numFmt w:val="lowerRoman"/>
      <w:start w:val="3"/>
    </w:lvl>
  </w:abstractNum>
  <w:abstractNum w:abstractNumId="232">
    <w:nsid w:val="76896198"/>
    <w:multiLevelType w:val="hybridMultilevel"/>
    <w:lvl w:ilvl="0">
      <w:lvlJc w:val="left"/>
      <w:lvlText w:val="●"/>
      <w:numFmt w:val="bullet"/>
      <w:start w:val="1"/>
    </w:lvl>
  </w:abstractNum>
  <w:abstractNum w:abstractNumId="233">
    <w:nsid w:val="4365174B"/>
    <w:multiLevelType w:val="hybridMultilevel"/>
    <w:lvl w:ilvl="0">
      <w:lvlJc w:val="left"/>
      <w:lvlText w:val="●"/>
      <w:numFmt w:val="bullet"/>
      <w:start w:val="1"/>
    </w:lvl>
  </w:abstractNum>
  <w:abstractNum w:abstractNumId="234">
    <w:nsid w:val="4A872C35"/>
    <w:multiLevelType w:val="hybridMultilevel"/>
    <w:lvl w:ilvl="0">
      <w:lvlJc w:val="left"/>
      <w:lvlText w:val="●"/>
      <w:numFmt w:val="bullet"/>
      <w:start w:val="1"/>
    </w:lvl>
  </w:abstractNum>
  <w:abstractNum w:abstractNumId="235">
    <w:nsid w:val="5D5CE761"/>
    <w:multiLevelType w:val="hybridMultilevel"/>
    <w:lvl w:ilvl="0">
      <w:lvlJc w:val="left"/>
      <w:lvlText w:val="●"/>
      <w:numFmt w:val="bullet"/>
      <w:start w:val="1"/>
    </w:lvl>
  </w:abstractNum>
  <w:abstractNum w:abstractNumId="236">
    <w:nsid w:val="1CD484D5"/>
    <w:multiLevelType w:val="hybridMultilevel"/>
    <w:lvl w:ilvl="0">
      <w:lvlJc w:val="left"/>
      <w:lvlText w:val="·"/>
      <w:numFmt w:val="bullet"/>
      <w:start w:val="1"/>
    </w:lvl>
  </w:abstractNum>
  <w:abstractNum w:abstractNumId="237">
    <w:nsid w:val="21D06255"/>
    <w:multiLevelType w:val="hybridMultilevel"/>
    <w:lvl w:ilvl="0">
      <w:lvlJc w:val="left"/>
      <w:lvlText w:val="●"/>
      <w:numFmt w:val="bullet"/>
      <w:start w:val="1"/>
    </w:lvl>
  </w:abstractNum>
  <w:abstractNum w:abstractNumId="238">
    <w:nsid w:val="51194ED1"/>
    <w:multiLevelType w:val="hybridMultilevel"/>
    <w:lvl w:ilvl="0">
      <w:lvlJc w:val="left"/>
      <w:lvlText w:val="●"/>
      <w:numFmt w:val="bullet"/>
      <w:start w:val="1"/>
    </w:lvl>
  </w:abstractNum>
  <w:abstractNum w:abstractNumId="239">
    <w:nsid w:val="44E2ED6C"/>
    <w:multiLevelType w:val="hybridMultilevel"/>
    <w:lvl w:ilvl="0">
      <w:lvlJc w:val="left"/>
      <w:lvlText w:val="%1."/>
      <w:numFmt w:val="decimal"/>
      <w:start w:val="1"/>
    </w:lvl>
  </w:abstractNum>
  <w:abstractNum w:abstractNumId="240">
    <w:nsid w:val="2219B33"/>
    <w:multiLevelType w:val="hybridMultilevel"/>
    <w:lvl w:ilvl="0">
      <w:lvlJc w:val="left"/>
      <w:lvlText w:val="%1."/>
      <w:numFmt w:val="decimal"/>
      <w:start w:val="1"/>
    </w:lvl>
  </w:abstractNum>
  <w:abstractNum w:abstractNumId="241">
    <w:nsid w:val="773BFBDD"/>
    <w:multiLevelType w:val="hybridMultilevel"/>
    <w:lvl w:ilvl="0">
      <w:lvlJc w:val="left"/>
      <w:lvlText w:val="%1."/>
      <w:numFmt w:val="decimal"/>
      <w:start w:val="1"/>
    </w:lvl>
  </w:abstractNum>
  <w:abstractNum w:abstractNumId="242">
    <w:nsid w:val="2C7C62C2"/>
    <w:multiLevelType w:val="hybridMultilevel"/>
    <w:lvl w:ilvl="0">
      <w:lvlJc w:val="left"/>
      <w:lvlText w:val="%1."/>
      <w:numFmt w:val="decimal"/>
      <w:start w:val="6"/>
    </w:lvl>
  </w:abstractNum>
  <w:abstractNum w:abstractNumId="243">
    <w:nsid w:val="1A54D7BC"/>
    <w:multiLevelType w:val="hybridMultilevel"/>
    <w:lvl w:ilvl="0">
      <w:lvlJc w:val="left"/>
      <w:lvlText w:val="%1."/>
      <w:numFmt w:val="decimal"/>
      <w:start w:val="9"/>
    </w:lvl>
  </w:abstractNum>
  <w:abstractNum w:abstractNumId="244">
    <w:nsid w:val="42E57EF7"/>
    <w:multiLevelType w:val="hybridMultilevel"/>
    <w:lvl w:ilvl="0">
      <w:lvlJc w:val="left"/>
      <w:lvlText w:val=" "/>
      <w:numFmt w:val="bullet"/>
      <w:start w:val="1"/>
    </w:lvl>
  </w:abstractNum>
  <w:abstractNum w:abstractNumId="245">
    <w:nsid w:val="33537CED"/>
    <w:multiLevelType w:val="hybridMultilevel"/>
    <w:lvl w:ilvl="0">
      <w:lvlJc w:val="left"/>
      <w:lvlText w:val="☑"/>
      <w:numFmt w:val="bullet"/>
      <w:start w:val="1"/>
    </w:lvl>
  </w:abstractNum>
  <w:abstractNum w:abstractNumId="246">
    <w:nsid w:val="27514ADE"/>
    <w:multiLevelType w:val="hybridMultilevel"/>
    <w:lvl w:ilvl="0">
      <w:lvlJc w:val="left"/>
      <w:lvlText w:val="□"/>
      <w:numFmt w:val="bullet"/>
      <w:start w:val="1"/>
    </w:lvl>
  </w:abstractNum>
  <w:abstractNum w:abstractNumId="247">
    <w:nsid w:val="57071613"/>
    <w:multiLevelType w:val="hybridMultilevel"/>
    <w:lvl w:ilvl="0">
      <w:lvlJc w:val="left"/>
      <w:lvlText w:val="%1."/>
      <w:numFmt w:val="decimal"/>
      <w:start w:val="2"/>
    </w:lvl>
  </w:abstractNum>
  <w:abstractNum w:abstractNumId="248">
    <w:nsid w:val="5293BFEF"/>
    <w:multiLevelType w:val="hybridMultilevel"/>
    <w:lvl w:ilvl="0">
      <w:lvlJc w:val="left"/>
      <w:lvlText w:val="%1."/>
      <w:numFmt w:val="decimal"/>
      <w:start w:val="1"/>
    </w:lvl>
  </w:abstractNum>
  <w:abstractNum w:abstractNumId="249">
    <w:nsid w:val="38BF53E5"/>
    <w:multiLevelType w:val="hybridMultilevel"/>
    <w:lvl w:ilvl="0">
      <w:lvlJc w:val="left"/>
      <w:lvlText w:val="%1."/>
      <w:numFmt w:val="decimal"/>
      <w:start w:val="2"/>
    </w:lvl>
  </w:abstractNum>
  <w:abstractNum w:abstractNumId="250">
    <w:nsid w:val="226F5320"/>
    <w:multiLevelType w:val="hybridMultilevel"/>
    <w:lvl w:ilvl="0">
      <w:lvlJc w:val="left"/>
      <w:lvlText w:val="%1."/>
      <w:numFmt w:val="decimal"/>
      <w:start w:val="4"/>
    </w:lvl>
  </w:abstractNum>
  <w:abstractNum w:abstractNumId="251">
    <w:nsid w:val="5A0201C7"/>
    <w:multiLevelType w:val="hybridMultilevel"/>
    <w:lvl w:ilvl="0">
      <w:lvlJc w:val="left"/>
      <w:lvlText w:val="%1."/>
      <w:numFmt w:val="decimal"/>
      <w:start w:val="1"/>
    </w:lvl>
  </w:abstractNum>
  <w:abstractNum w:abstractNumId="252">
    <w:nsid w:val="2A9C34E2"/>
    <w:multiLevelType w:val="hybridMultilevel"/>
    <w:lvl w:ilvl="0">
      <w:lvlJc w:val="left"/>
      <w:lvlText w:val="%1."/>
      <w:numFmt w:val="decimal"/>
      <w:start w:val="1"/>
    </w:lvl>
  </w:abstractNum>
  <w:abstractNum w:abstractNumId="253">
    <w:nsid w:val="1B7585AB"/>
    <w:multiLevelType w:val="hybridMultilevel"/>
    <w:lvl w:ilvl="0">
      <w:lvlJc w:val="left"/>
      <w:lvlText w:val="%1."/>
      <w:numFmt w:val="decimal"/>
      <w:start w:val="3"/>
    </w:lvl>
  </w:abstractNum>
  <w:abstractNum w:abstractNumId="254">
    <w:nsid w:val="612DBDDD"/>
    <w:multiLevelType w:val="hybridMultilevel"/>
    <w:lvl w:ilvl="0">
      <w:lvlJc w:val="left"/>
      <w:lvlText w:val="%1."/>
      <w:numFmt w:val="decimal"/>
      <w:start w:val="4"/>
    </w:lvl>
  </w:abstractNum>
  <w:abstractNum w:abstractNumId="255">
    <w:nsid w:val="2109CDA4"/>
    <w:multiLevelType w:val="hybridMultilevel"/>
    <w:lvl w:ilvl="0">
      <w:lvlJc w:val="left"/>
      <w:lvlText w:val="%1."/>
      <w:numFmt w:val="decimal"/>
      <w:start w:val="5"/>
    </w:lvl>
  </w:abstractNum>
  <w:abstractNum w:abstractNumId="256">
    <w:nsid w:val="577F5A4D"/>
    <w:multiLevelType w:val="hybridMultilevel"/>
    <w:lvl w:ilvl="0">
      <w:lvlJc w:val="left"/>
      <w:lvlText w:val="%1."/>
      <w:numFmt w:val="decimal"/>
      <w:start w:val="6"/>
    </w:lvl>
  </w:abstractNum>
  <w:abstractNum w:abstractNumId="257">
    <w:nsid w:val="2121A81"/>
    <w:multiLevelType w:val="hybridMultilevel"/>
    <w:lvl w:ilvl="0">
      <w:lvlJc w:val="left"/>
      <w:lvlText w:val="%1."/>
      <w:numFmt w:val="decimal"/>
      <w:start w:val="1"/>
    </w:lvl>
  </w:abstractNum>
  <w:abstractNum w:abstractNumId="258">
    <w:nsid w:val="6C2CFC88"/>
    <w:multiLevelType w:val="hybridMultilevel"/>
    <w:lvl w:ilvl="0">
      <w:lvlJc w:val="left"/>
      <w:lvlText w:val="%1."/>
      <w:numFmt w:val="decimal"/>
      <w:start w:val="1"/>
    </w:lvl>
  </w:abstractNum>
  <w:abstractNum w:abstractNumId="259">
    <w:nsid w:val="6D1BCF1C"/>
    <w:multiLevelType w:val="hybridMultilevel"/>
    <w:lvl w:ilvl="0">
      <w:lvlJc w:val="left"/>
      <w:lvlText w:val="%1."/>
      <w:numFmt w:val="decimal"/>
      <w:start w:val="1"/>
    </w:lvl>
  </w:abstractNum>
  <w:abstractNum w:abstractNumId="260">
    <w:nsid w:val="4CE5CA53"/>
    <w:multiLevelType w:val="hybridMultilevel"/>
    <w:lvl w:ilvl="0">
      <w:lvlJc w:val="left"/>
      <w:lvlText w:val="%1."/>
      <w:numFmt w:val="decimal"/>
      <w:start w:val="2"/>
    </w:lvl>
  </w:abstractNum>
  <w:abstractNum w:abstractNumId="261">
    <w:nsid w:val="29262D1A"/>
    <w:multiLevelType w:val="hybridMultilevel"/>
    <w:lvl w:ilvl="0">
      <w:lvlJc w:val="left"/>
      <w:lvlText w:val="%1."/>
      <w:numFmt w:val="decimal"/>
      <w:start w:val="3"/>
    </w:lvl>
  </w:abstractNum>
  <w:abstractNum w:abstractNumId="262">
    <w:nsid w:val="557FB7EE"/>
    <w:multiLevelType w:val="hybridMultilevel"/>
    <w:lvl w:ilvl="0">
      <w:lvlJc w:val="left"/>
      <w:lvlText w:val="%1."/>
      <w:numFmt w:val="decimal"/>
      <w:start w:val="4"/>
    </w:lvl>
  </w:abstractNum>
  <w:abstractNum w:abstractNumId="263">
    <w:nsid w:val="436F2BEB"/>
    <w:multiLevelType w:val="hybridMultilevel"/>
    <w:lvl w:ilvl="0">
      <w:lvlJc w:val="left"/>
      <w:lvlText w:val="(%1)"/>
      <w:numFmt w:val="decimal"/>
      <w:start w:val="1"/>
    </w:lvl>
  </w:abstractNum>
  <w:abstractNum w:abstractNumId="264">
    <w:nsid w:val="6C8B4466"/>
    <w:multiLevelType w:val="hybridMultilevel"/>
    <w:lvl w:ilvl="0">
      <w:lvlJc w:val="left"/>
      <w:lvlText w:val="(%1)"/>
      <w:numFmt w:val="decimal"/>
      <w:start w:val="6"/>
    </w:lvl>
  </w:abstractNum>
  <w:abstractNum w:abstractNumId="265">
    <w:nsid w:val="2006E424"/>
    <w:multiLevelType w:val="hybridMultilevel"/>
    <w:lvl w:ilvl="0">
      <w:lvlJc w:val="left"/>
      <w:lvlText w:val="%1."/>
      <w:numFmt w:val="decimal"/>
      <w:start w:val="6"/>
    </w:lvl>
  </w:abstractNum>
  <w:abstractNum w:abstractNumId="266">
    <w:nsid w:val="20CC134C"/>
    <w:multiLevelType w:val="hybridMultilevel"/>
    <w:lvl w:ilvl="0">
      <w:lvlJc w:val="left"/>
      <w:lvlText w:val="(%1)"/>
      <w:numFmt w:val="decimal"/>
      <w:start w:val="1"/>
    </w:lvl>
  </w:abstractNum>
  <w:abstractNum w:abstractNumId="267">
    <w:nsid w:val="95FC93B"/>
    <w:multiLevelType w:val="hybridMultilevel"/>
    <w:lvl w:ilvl="0">
      <w:lvlJc w:val="left"/>
      <w:lvlText w:val="(%1)"/>
      <w:numFmt w:val="decimal"/>
      <w:start w:val="1"/>
    </w:lvl>
  </w:abstractNum>
  <w:abstractNum w:abstractNumId="268">
    <w:nsid w:val="41D74679"/>
    <w:multiLevelType w:val="hybridMultilevel"/>
    <w:lvl w:ilvl="0">
      <w:lvlJc w:val="left"/>
      <w:lvlText w:val="(%1)"/>
      <w:numFmt w:val="decimal"/>
      <w:start w:val="4"/>
    </w:lvl>
  </w:abstractNum>
  <w:abstractNum w:abstractNumId="269">
    <w:nsid w:val="71E5621E"/>
    <w:multiLevelType w:val="hybridMultilevel"/>
    <w:lvl w:ilvl="0">
      <w:lvlJc w:val="left"/>
      <w:lvlText w:val="%1."/>
      <w:numFmt w:val="decimal"/>
      <w:start w:val="8"/>
    </w:lvl>
  </w:abstractNum>
  <w:abstractNum w:abstractNumId="270">
    <w:nsid w:val="4E42B6A8"/>
    <w:multiLevelType w:val="hybridMultilevel"/>
    <w:lvl w:ilvl="0">
      <w:lvlJc w:val="left"/>
      <w:lvlText w:val="%1."/>
      <w:numFmt w:val="decimal"/>
      <w:start w:val="11"/>
    </w:lvl>
  </w:abstractNum>
  <w:abstractNum w:abstractNumId="271">
    <w:nsid w:val="43F8E1AC"/>
    <w:multiLevelType w:val="hybridMultilevel"/>
    <w:lvl w:ilvl="0">
      <w:lvlJc w:val="left"/>
      <w:lvlText w:val="(%1)"/>
      <w:numFmt w:val="decimal"/>
      <w:start w:val="1"/>
    </w:lvl>
  </w:abstractNum>
  <w:abstractNum w:abstractNumId="272">
    <w:nsid w:val="69215DFB"/>
    <w:multiLevelType w:val="hybridMultilevel"/>
    <w:lvl w:ilvl="0">
      <w:lvlJc w:val="left"/>
      <w:lvlText w:val="(%1)"/>
      <w:numFmt w:val="decimal"/>
      <w:start w:val="7"/>
    </w:lvl>
  </w:abstractNum>
  <w:abstractNum w:abstractNumId="273">
    <w:nsid w:val="7ABF196A"/>
    <w:multiLevelType w:val="hybridMultilevel"/>
    <w:lvl w:ilvl="0">
      <w:lvlJc w:val="left"/>
      <w:lvlText w:val="%1"/>
      <w:numFmt w:val="decimal"/>
      <w:start w:val="1"/>
    </w:lvl>
    <w:lvl w:ilvl="1">
      <w:lvlJc w:val="left"/>
      <w:lvlText w:val="%2."/>
      <w:numFmt w:val="decimal"/>
      <w:start w:val="13"/>
    </w:lvl>
    <w:lvl w:ilvl="2">
      <w:lvlJc w:val="left"/>
      <w:lvlText w:val="%3"/>
      <w:numFmt w:val="decimal"/>
      <w:start w:val="1"/>
    </w:lvl>
  </w:abstractNum>
  <w:abstractNum w:abstractNumId="274">
    <w:nsid w:val="5E4DB96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75">
    <w:nsid w:val="2C06DCF3"/>
    <w:multiLevelType w:val="hybridMultilevel"/>
    <w:lvl w:ilvl="0">
      <w:lvlJc w:val="left"/>
      <w:lvlText w:val="%1"/>
      <w:numFmt w:val="decimal"/>
      <w:start w:val="1"/>
    </w:lvl>
    <w:lvl w:ilvl="1">
      <w:lvlJc w:val="left"/>
      <w:lvlText w:val="%2)"/>
      <w:numFmt w:val="decimal"/>
      <w:start w:val="2"/>
    </w:lvl>
  </w:abstractNum>
  <w:abstractNum w:abstractNumId="276">
    <w:nsid w:val="2E129658"/>
    <w:multiLevelType w:val="hybridMultilevel"/>
    <w:lvl w:ilvl="0">
      <w:lvlJc w:val="left"/>
      <w:lvlText w:val="(%1)"/>
      <w:numFmt w:val="decimal"/>
      <w:start w:val="7"/>
    </w:lvl>
    <w:lvl w:ilvl="1">
      <w:lvlJc w:val="left"/>
      <w:lvlText w:val="%2"/>
      <w:numFmt w:val="decimal"/>
      <w:start w:val="1"/>
    </w:lvl>
  </w:abstractNum>
  <w:abstractNum w:abstractNumId="277">
    <w:nsid w:val="59F0446"/>
    <w:multiLevelType w:val="hybridMultilevel"/>
    <w:lvl w:ilvl="0">
      <w:lvlJc w:val="left"/>
      <w:lvlText w:val="%1"/>
      <w:numFmt w:val="lowerLetter"/>
      <w:start w:val="1"/>
    </w:lvl>
    <w:lvl w:ilvl="1">
      <w:lvlJc w:val="left"/>
      <w:lvlText w:val="%2)"/>
      <w:numFmt w:val="decimal"/>
      <w:start w:val="1"/>
    </w:lvl>
  </w:abstractNum>
  <w:abstractNum w:abstractNumId="278">
    <w:nsid w:val="30DF306"/>
    <w:multiLevelType w:val="hybridMultilevel"/>
    <w:lvl w:ilvl="0">
      <w:lvlJc w:val="left"/>
      <w:lvlText w:val="(%1)"/>
      <w:numFmt w:val="decimal"/>
      <w:start w:val="11"/>
    </w:lvl>
    <w:lvl w:ilvl="1">
      <w:lvlJc w:val="left"/>
      <w:lvlText w:val="%2)"/>
      <w:numFmt w:val="decimal"/>
      <w:start w:val="1"/>
    </w:lvl>
  </w:abstractNum>
  <w:abstractNum w:abstractNumId="279">
    <w:nsid w:val="A65647"/>
    <w:multiLevelType w:val="hybridMultilevel"/>
    <w:lvl w:ilvl="0">
      <w:lvlJc w:val="left"/>
      <w:lvlText w:val="%1)"/>
      <w:numFmt w:val="decimal"/>
      <w:start w:val="4"/>
    </w:lvl>
  </w:abstractNum>
  <w:abstractNum w:abstractNumId="280">
    <w:nsid w:val="3E5E582B"/>
    <w:multiLevelType w:val="hybridMultilevel"/>
    <w:lvl w:ilvl="0">
      <w:lvlJc w:val="left"/>
      <w:lvlText w:val="(%1)"/>
      <w:numFmt w:val="decimal"/>
      <w:start w:val="12"/>
    </w:lvl>
  </w:abstractNum>
  <w:abstractNum w:abstractNumId="281">
    <w:nsid w:val="257D4626"/>
    <w:multiLevelType w:val="hybridMultilevel"/>
    <w:lvl w:ilvl="0">
      <w:lvlJc w:val="left"/>
      <w:lvlText w:val="(%1)"/>
      <w:numFmt w:val="decimal"/>
      <w:start w:val="15"/>
    </w:lvl>
  </w:abstractNum>
  <w:abstractNum w:abstractNumId="282">
    <w:nsid w:val="5AA8580E"/>
    <w:multiLevelType w:val="hybridMultilevel"/>
    <w:lvl w:ilvl="0">
      <w:lvlJc w:val="left"/>
      <w:lvlText w:val="%1."/>
      <w:numFmt w:val="decimal"/>
      <w:start w:val="14"/>
    </w:lvl>
  </w:abstractNum>
  <w:abstractNum w:abstractNumId="283">
    <w:nsid w:val="68FA8D0D"/>
    <w:multiLevelType w:val="hybridMultilevel"/>
    <w:lvl w:ilvl="0">
      <w:lvlJc w:val="left"/>
      <w:lvlText w:val="%1."/>
      <w:numFmt w:val="decimal"/>
      <w:start w:val="18"/>
    </w:lvl>
  </w:abstractNum>
  <w:abstractNum w:abstractNumId="284">
    <w:nsid w:val="40F2CBD2"/>
    <w:multiLevelType w:val="hybridMultilevel"/>
    <w:lvl w:ilvl="0">
      <w:lvlJc w:val="left"/>
      <w:lvlText w:val="(%1)"/>
      <w:numFmt w:val="decimal"/>
      <w:start w:val="1"/>
    </w:lvl>
  </w:abstractNum>
  <w:abstractNum w:abstractNumId="285">
    <w:nsid w:val="3BD615EB"/>
    <w:multiLevelType w:val="hybridMultilevel"/>
    <w:lvl w:ilvl="0">
      <w:lvlJc w:val="left"/>
      <w:lvlText w:val="%1)"/>
      <w:numFmt w:val="decimal"/>
      <w:start w:val="1"/>
    </w:lvl>
  </w:abstractNum>
  <w:abstractNum w:abstractNumId="286">
    <w:nsid w:val="A045AB2"/>
    <w:multiLevelType w:val="hybridMultilevel"/>
    <w:lvl w:ilvl="0">
      <w:lvlJc w:val="left"/>
      <w:lvlText w:val="(%1)"/>
      <w:numFmt w:val="decimal"/>
      <w:start w:val="2"/>
    </w:lvl>
  </w:abstractNum>
  <w:abstractNum w:abstractNumId="287">
    <w:nsid w:val="1872261F"/>
    <w:multiLevelType w:val="hybridMultilevel"/>
    <w:lvl w:ilvl="0">
      <w:lvlJc w:val="left"/>
      <w:lvlText w:val="%1)"/>
      <w:numFmt w:val="decimal"/>
      <w:start w:val="1"/>
    </w:lvl>
  </w:abstractNum>
  <w:abstractNum w:abstractNumId="288">
    <w:nsid w:val="3DE8306C"/>
    <w:multiLevelType w:val="hybridMultilevel"/>
    <w:lvl w:ilvl="0">
      <w:lvlJc w:val="left"/>
      <w:lvlText w:val="%1."/>
      <w:numFmt w:val="decimal"/>
      <w:start w:val="22"/>
    </w:lvl>
  </w:abstractNum>
  <w:abstractNum w:abstractNumId="289">
    <w:nsid w:val="7631573A"/>
    <w:multiLevelType w:val="hybridMultilevel"/>
    <w:lvl w:ilvl="0">
      <w:lvlJc w:val="left"/>
      <w:lvlText w:val="%1."/>
      <w:numFmt w:val="decimal"/>
      <w:start w:val="24"/>
    </w:lvl>
  </w:abstractNum>
  <w:abstractNum w:abstractNumId="290">
    <w:nsid w:val="58DF53B"/>
    <w:multiLevelType w:val="hybridMultilevel"/>
    <w:lvl w:ilvl="0">
      <w:lvlJc w:val="left"/>
      <w:lvlText w:val="(%1)"/>
      <w:numFmt w:val="decimal"/>
      <w:start w:val="1"/>
    </w:lvl>
  </w:abstractNum>
  <w:abstractNum w:abstractNumId="291">
    <w:nsid w:val="ACDFAC0"/>
    <w:multiLevelType w:val="hybridMultilevel"/>
    <w:lvl w:ilvl="0">
      <w:lvlJc w:val="left"/>
      <w:lvlText w:val="(%1)"/>
      <w:numFmt w:val="decimal"/>
      <w:start w:val="1"/>
    </w:lvl>
  </w:abstractNum>
  <w:abstractNum w:abstractNumId="292">
    <w:nsid w:val="1F578454"/>
    <w:multiLevelType w:val="hybridMultilevel"/>
    <w:lvl w:ilvl="0">
      <w:lvlJc w:val="left"/>
      <w:lvlText w:val="(%1)"/>
      <w:numFmt w:val="lowerLetter"/>
      <w:start w:val="1"/>
    </w:lvl>
  </w:abstractNum>
  <w:abstractNum w:abstractNumId="293">
    <w:nsid w:val="5B0DAD2A"/>
    <w:multiLevelType w:val="hybridMultilevel"/>
    <w:lvl w:ilvl="0">
      <w:lvlJc w:val="left"/>
      <w:lvlText w:val="(%1)"/>
      <w:numFmt w:val="lowerLetter"/>
      <w:start w:val="2"/>
    </w:lvl>
  </w:abstractNum>
  <w:abstractNum w:abstractNumId="294">
    <w:nsid w:val="4E3D26AB"/>
    <w:multiLevelType w:val="hybridMultilevel"/>
    <w:lvl w:ilvl="0">
      <w:lvlJc w:val="left"/>
      <w:lvlText w:val="(%1)"/>
      <w:numFmt w:val="lowerLetter"/>
      <w:start w:val="1"/>
    </w:lvl>
  </w:abstractNum>
  <w:abstractNum w:abstractNumId="295">
    <w:nsid w:val="BE2C8BA"/>
    <w:multiLevelType w:val="hybridMultilevel"/>
    <w:lvl w:ilvl="0">
      <w:lvlJc w:val="left"/>
      <w:lvlText w:val="(%1)"/>
      <w:numFmt w:val="lowerLetter"/>
      <w:start w:val="1"/>
    </w:lvl>
  </w:abstractNum>
  <w:abstractNum w:abstractNumId="296">
    <w:nsid w:val="7B14914E"/>
    <w:multiLevelType w:val="hybridMultilevel"/>
    <w:lvl w:ilvl="0">
      <w:lvlJc w:val="left"/>
      <w:lvlText w:val="(%1)"/>
      <w:numFmt w:val="lowerLetter"/>
      <w:start w:val="3"/>
    </w:lvl>
  </w:abstractNum>
  <w:abstractNum w:abstractNumId="297">
    <w:nsid w:val="6F0939F8"/>
    <w:multiLevelType w:val="hybridMultilevel"/>
    <w:lvl w:ilvl="0">
      <w:lvlJc w:val="left"/>
      <w:lvlText w:val="(%1)"/>
      <w:numFmt w:val="lowerLetter"/>
      <w:start w:val="1"/>
    </w:lvl>
  </w:abstractNum>
  <w:abstractNum w:abstractNumId="298">
    <w:nsid w:val="154291F6"/>
    <w:multiLevelType w:val="hybridMultilevel"/>
    <w:lvl w:ilvl="0">
      <w:lvlJc w:val="left"/>
      <w:lvlText w:val="%1."/>
      <w:numFmt w:val="decimal"/>
      <w:start w:val="1"/>
    </w:lvl>
  </w:abstractNum>
  <w:abstractNum w:abstractNumId="299">
    <w:nsid w:val="3CEBD7C7"/>
    <w:multiLevelType w:val="hybridMultilevel"/>
    <w:lvl w:ilvl="0">
      <w:lvlJc w:val="left"/>
      <w:lvlText w:val="(%1)"/>
      <w:numFmt w:val="lowerLetter"/>
      <w:start w:val="1"/>
    </w:lvl>
  </w:abstractNum>
  <w:abstractNum w:abstractNumId="300">
    <w:nsid w:val="60EE9C16"/>
    <w:multiLevelType w:val="hybridMultilevel"/>
    <w:lvl w:ilvl="0">
      <w:lvlJc w:val="left"/>
      <w:lvlText w:val="(%1)"/>
      <w:numFmt w:val="lowerLetter"/>
      <w:start w:val="2"/>
    </w:lvl>
  </w:abstractNum>
  <w:abstractNum w:abstractNumId="301">
    <w:nsid w:val="6385489E"/>
    <w:multiLevelType w:val="hybridMultilevel"/>
    <w:lvl w:ilvl="0">
      <w:lvlJc w:val="left"/>
      <w:lvlText w:val="%1."/>
      <w:numFmt w:val="decimal"/>
      <w:start w:val="2"/>
    </w:lvl>
  </w:abstractNum>
  <w:abstractNum w:abstractNumId="302">
    <w:nsid w:val="E4B973"/>
    <w:multiLevelType w:val="hybridMultilevel"/>
    <w:lvl w:ilvl="0">
      <w:lvlJc w:val="left"/>
      <w:lvlText w:val="(%1)"/>
      <w:numFmt w:val="lowerLetter"/>
      <w:start w:val="1"/>
    </w:lvl>
  </w:abstractNum>
  <w:abstractNum w:abstractNumId="303">
    <w:nsid w:val="4A0FFA11"/>
    <w:multiLevelType w:val="hybridMultilevel"/>
    <w:lvl w:ilvl="0">
      <w:lvlJc w:val="left"/>
      <w:lvlText w:val="(%1)"/>
      <w:numFmt w:val="lowerLetter"/>
      <w:start w:val="5"/>
    </w:lvl>
  </w:abstractNum>
  <w:abstractNum w:abstractNumId="304">
    <w:nsid w:val="5E446208"/>
    <w:multiLevelType w:val="hybridMultilevel"/>
    <w:lvl w:ilvl="0">
      <w:lvlJc w:val="left"/>
      <w:lvlText w:val="(%1)"/>
      <w:numFmt w:val="lowerLetter"/>
      <w:start w:val="23"/>
    </w:lvl>
  </w:abstractNum>
  <w:abstractNum w:abstractNumId="305">
    <w:nsid w:val="5F3272DB"/>
    <w:multiLevelType w:val="hybridMultilevel"/>
    <w:lvl w:ilvl="0">
      <w:lvlJc w:val="left"/>
      <w:lvlText w:val="(%1)"/>
      <w:numFmt w:val="lowerLetter"/>
      <w:start w:val="10"/>
    </w:lvl>
  </w:abstractNum>
  <w:abstractNum w:abstractNumId="306">
    <w:nsid w:val="7616D704"/>
    <w:multiLevelType w:val="hybridMultilevel"/>
    <w:lvl w:ilvl="0">
      <w:lvlJc w:val="left"/>
      <w:lvlText w:val="(%1)"/>
      <w:numFmt w:val="lowerLetter"/>
      <w:start w:val="1"/>
    </w:lvl>
  </w:abstractNum>
  <w:abstractNum w:abstractNumId="307">
    <w:nsid w:val="C56F860"/>
    <w:multiLevelType w:val="hybridMultilevel"/>
    <w:lvl w:ilvl="0">
      <w:lvlJc w:val="left"/>
      <w:lvlText w:val="(%1)"/>
      <w:numFmt w:val="lowerLetter"/>
      <w:start w:val="1"/>
    </w:lvl>
  </w:abstractNum>
  <w:abstractNum w:abstractNumId="308">
    <w:nsid w:val="64D17722"/>
    <w:multiLevelType w:val="hybridMultilevel"/>
    <w:lvl w:ilvl="0">
      <w:lvlJc w:val="left"/>
      <w:lvlText w:val="(%1)"/>
      <w:numFmt w:val="lowerLetter"/>
      <w:start w:val="1"/>
    </w:lvl>
  </w:abstractNum>
  <w:abstractNum w:abstractNumId="309">
    <w:nsid w:val="7924CA0A"/>
    <w:multiLevelType w:val="hybridMultilevel"/>
    <w:lvl w:ilvl="0">
      <w:lvlJc w:val="left"/>
      <w:lvlText w:val="(%1)"/>
      <w:numFmt w:val="lowerLetter"/>
      <w:start w:val="1"/>
    </w:lvl>
    <w:lvl w:ilvl="1">
      <w:lvlJc w:val="left"/>
      <w:lvlText w:val="(%2)"/>
      <w:numFmt w:val="lowerRoman"/>
      <w:start w:val="1"/>
    </w:lvl>
  </w:abstractNum>
  <w:abstractNum w:abstractNumId="310">
    <w:nsid w:val="CFD4EA7"/>
    <w:multiLevelType w:val="hybridMultilevel"/>
    <w:lvl w:ilvl="0">
      <w:lvlJc w:val="left"/>
      <w:lvlText w:val="(%1)"/>
      <w:numFmt w:val="lowerLetter"/>
      <w:start w:val="27"/>
    </w:lvl>
  </w:abstractNum>
  <w:abstractNum w:abstractNumId="311">
    <w:nsid w:val="232FCF4D"/>
    <w:multiLevelType w:val="hybridMultilevel"/>
    <w:lvl w:ilvl="0">
      <w:lvlJc w:val="left"/>
      <w:lvlText w:val="(%1)"/>
      <w:numFmt w:val="lowerRoman"/>
      <w:start w:val="3"/>
    </w:lvl>
  </w:abstractNum>
  <w:abstractNum w:abstractNumId="312">
    <w:nsid w:val="1EA21031"/>
    <w:multiLevelType w:val="hybridMultilevel"/>
    <w:lvl w:ilvl="0">
      <w:lvlJc w:val="left"/>
      <w:lvlText w:val="(%1)"/>
      <w:numFmt w:val="lowerRoman"/>
      <w:start w:val="9"/>
    </w:lvl>
  </w:abstractNum>
  <w:abstractNum w:abstractNumId="313">
    <w:nsid w:val="67A5A6B5"/>
    <w:multiLevelType w:val="hybridMultilevel"/>
    <w:lvl w:ilvl="0">
      <w:lvlJc w:val="left"/>
      <w:lvlText w:val="(%1)"/>
      <w:numFmt w:val="lowerLetter"/>
      <w:start w:val="2"/>
    </w:lvl>
  </w:abstractNum>
  <w:abstractNum w:abstractNumId="314">
    <w:nsid w:val="C2A5C5B"/>
    <w:multiLevelType w:val="hybridMultilevel"/>
    <w:lvl w:ilvl="0">
      <w:lvlJc w:val="left"/>
      <w:lvlText w:val="(%1)"/>
      <w:numFmt w:val="decimal"/>
      <w:start w:val="12"/>
    </w:lvl>
  </w:abstractNum>
  <w:abstractNum w:abstractNumId="315">
    <w:nsid w:val="5F94DC03"/>
    <w:multiLevelType w:val="hybridMultilevel"/>
    <w:lvl w:ilvl="0">
      <w:lvlJc w:val="left"/>
      <w:lvlText w:val="(%1)"/>
      <w:numFmt w:val="lowerLetter"/>
      <w:start w:val="1"/>
    </w:lvl>
  </w:abstractNum>
  <w:abstractNum w:abstractNumId="316">
    <w:nsid w:val="237BBCA0"/>
    <w:multiLevelType w:val="hybridMultilevel"/>
    <w:lvl w:ilvl="0">
      <w:lvlJc w:val="left"/>
      <w:lvlText w:val="(%1)"/>
      <w:numFmt w:val="lowerRoman"/>
      <w:start w:val="1"/>
    </w:lvl>
  </w:abstractNum>
  <w:abstractNum w:abstractNumId="317">
    <w:nsid w:val="162EB70D"/>
    <w:multiLevelType w:val="hybridMultilevel"/>
    <w:lvl w:ilvl="0">
      <w:lvlJc w:val="left"/>
      <w:lvlText w:val="(%1)"/>
      <w:numFmt w:val="lowerLetter"/>
      <w:start w:val="2"/>
    </w:lvl>
  </w:abstractNum>
  <w:abstractNum w:abstractNumId="318">
    <w:nsid w:val="78070222"/>
    <w:multiLevelType w:val="hybridMultilevel"/>
    <w:lvl w:ilvl="0">
      <w:lvlJc w:val="left"/>
      <w:lvlText w:val="(%1)"/>
      <w:numFmt w:val="lowerLetter"/>
      <w:start w:val="3"/>
    </w:lvl>
  </w:abstractNum>
  <w:abstractNum w:abstractNumId="319">
    <w:nsid w:val="6163ED0D"/>
    <w:multiLevelType w:val="hybridMultilevel"/>
    <w:lvl w:ilvl="0">
      <w:lvlJc w:val="left"/>
      <w:lvlText w:val="(%1)"/>
      <w:numFmt w:val="lowerRoman"/>
      <w:start w:val="1"/>
    </w:lvl>
  </w:abstractNum>
  <w:abstractNum w:abstractNumId="320">
    <w:nsid w:val="C600E47"/>
    <w:multiLevelType w:val="hybridMultilevel"/>
    <w:lvl w:ilvl="0">
      <w:lvlJc w:val="left"/>
      <w:lvlText w:val="(%1)"/>
      <w:numFmt w:val="lowerLetter"/>
      <w:start w:val="1"/>
    </w:lvl>
  </w:abstractNum>
  <w:abstractNum w:abstractNumId="321">
    <w:nsid w:val="7D94F75D"/>
    <w:multiLevelType w:val="hybridMultilevel"/>
    <w:lvl w:ilvl="0">
      <w:lvlJc w:val="left"/>
      <w:lvlText w:val="(%1)"/>
      <w:numFmt w:val="lowerLetter"/>
      <w:start w:val="2"/>
    </w:lvl>
  </w:abstractNum>
  <w:abstractNum w:abstractNumId="322">
    <w:nsid w:val="6C31E7CD"/>
    <w:multiLevelType w:val="hybridMultilevel"/>
    <w:lvl w:ilvl="0">
      <w:lvlJc w:val="left"/>
      <w:lvlText w:val="(%1)"/>
      <w:numFmt w:val="lowerLetter"/>
      <w:start w:val="1"/>
    </w:lvl>
  </w:abstractNum>
  <w:abstractNum w:abstractNumId="323">
    <w:nsid w:val="2BB7929B"/>
    <w:multiLevelType w:val="hybridMultilevel"/>
    <w:lvl w:ilvl="0">
      <w:lvlJc w:val="left"/>
      <w:lvlText w:val="(%1)"/>
      <w:numFmt w:val="lowerLetter"/>
      <w:start w:val="1"/>
    </w:lvl>
  </w:abstractNum>
  <w:abstractNum w:abstractNumId="324">
    <w:nsid w:val="58A2A487"/>
    <w:multiLevelType w:val="hybridMultilevel"/>
    <w:lvl w:ilvl="0">
      <w:lvlJc w:val="left"/>
      <w:lvlText w:val="(%1)"/>
      <w:numFmt w:val="lowerLetter"/>
      <w:start w:val="1"/>
    </w:lvl>
  </w:abstractNum>
  <w:abstractNum w:abstractNumId="325">
    <w:nsid w:val="3A6F0E78"/>
    <w:multiLevelType w:val="hybridMultilevel"/>
    <w:lvl w:ilvl="0">
      <w:lvlJc w:val="left"/>
      <w:lvlText w:val="(%1)"/>
      <w:numFmt w:val="decimal"/>
      <w:start w:val="1"/>
    </w:lvl>
  </w:abstractNum>
  <w:abstractNum w:abstractNumId="326">
    <w:nsid w:val="379A5B56"/>
    <w:multiLevelType w:val="hybridMultilevel"/>
    <w:lvl w:ilvl="0">
      <w:lvlJc w:val="left"/>
      <w:lvlText w:val="(%1)"/>
      <w:numFmt w:val="decimal"/>
      <w:start w:val="1"/>
    </w:lvl>
  </w:abstractNum>
  <w:abstractNum w:abstractNumId="327">
    <w:nsid w:val="53B735D5"/>
    <w:multiLevelType w:val="hybridMultilevel"/>
    <w:lvl w:ilvl="0">
      <w:lvlJc w:val="left"/>
      <w:lvlText w:val="(%1)"/>
      <w:numFmt w:val="decimal"/>
      <w:start w:val="12"/>
    </w:lvl>
  </w:abstractNum>
  <w:abstractNum w:abstractNumId="328">
    <w:nsid w:val="29784870"/>
    <w:multiLevelType w:val="hybridMultilevel"/>
    <w:lvl w:ilvl="0">
      <w:lvlJc w:val="left"/>
      <w:lvlText w:val="(%1)"/>
      <w:numFmt w:val="lowerLetter"/>
      <w:start w:val="1"/>
    </w:lvl>
  </w:abstractNum>
  <w:abstractNum w:abstractNumId="329">
    <w:nsid w:val="4CDCED4C"/>
    <w:multiLevelType w:val="hybridMultilevel"/>
    <w:lvl w:ilvl="0">
      <w:lvlJc w:val="left"/>
      <w:lvlText w:val="%1."/>
      <w:numFmt w:val="decimal"/>
      <w:start w:val="1"/>
    </w:lvl>
  </w:abstractNum>
  <w:abstractNum w:abstractNumId="330">
    <w:nsid w:val="10A30D9C"/>
    <w:multiLevelType w:val="hybridMultilevel"/>
    <w:lvl w:ilvl="0">
      <w:lvlJc w:val="left"/>
      <w:lvlText w:val="(%1)"/>
      <w:numFmt w:val="lowerRoman"/>
      <w:start w:val="10"/>
    </w:lvl>
  </w:abstractNum>
  <w:abstractNum w:abstractNumId="331">
    <w:nsid w:val="A66E486"/>
    <w:multiLevelType w:val="hybridMultilevel"/>
    <w:lvl w:ilvl="0">
      <w:lvlJc w:val="left"/>
      <w:lvlText w:val="(%1)"/>
      <w:numFmt w:val="decimal"/>
      <w:start w:val="1"/>
    </w:lvl>
  </w:abstractNum>
  <w:abstractNum w:abstractNumId="332">
    <w:nsid w:val="306235EA"/>
    <w:multiLevelType w:val="hybridMultilevel"/>
    <w:lvl w:ilvl="0">
      <w:lvlJc w:val="left"/>
      <w:lvlText w:val="(%1)"/>
      <w:numFmt w:val="decimal"/>
      <w:start w:val="3"/>
    </w:lvl>
  </w:abstractNum>
  <w:abstractNum w:abstractNumId="333">
    <w:nsid w:val="1187C70F"/>
    <w:multiLevelType w:val="hybridMultilevel"/>
    <w:lvl w:ilvl="0">
      <w:lvlJc w:val="left"/>
      <w:lvlText w:val="(%1)"/>
      <w:numFmt w:val="upperLetter"/>
      <w:start w:val="2"/>
    </w:lvl>
  </w:abstractNum>
  <w:abstractNum w:abstractNumId="334">
    <w:nsid w:val="5476DE98"/>
    <w:multiLevelType w:val="hybridMultilevel"/>
    <w:lvl w:ilvl="0">
      <w:lvlJc w:val="left"/>
      <w:lvlText w:val="(%1)"/>
      <w:numFmt w:val="upperLetter"/>
      <w:start w:val="3"/>
    </w:lvl>
  </w:abstractNum>
  <w:abstractNum w:abstractNumId="335">
    <w:nsid w:val="EA697F2"/>
    <w:multiLevelType w:val="hybridMultilevel"/>
    <w:lvl w:ilvl="0">
      <w:lvlJc w:val="left"/>
      <w:lvlText w:val="(%1)"/>
      <w:numFmt w:val="lowerRoman"/>
      <w:start w:val="1"/>
    </w:lvl>
  </w:abstractNum>
  <w:abstractNum w:abstractNumId="336">
    <w:nsid w:val="70BA39EB"/>
    <w:multiLevelType w:val="hybridMultilevel"/>
    <w:lvl w:ilvl="0">
      <w:lvlJc w:val="left"/>
      <w:lvlText w:val="(%1)"/>
      <w:numFmt w:val="lowerRoman"/>
      <w:start w:val="1"/>
    </w:lvl>
  </w:abstractNum>
  <w:abstractNum w:abstractNumId="337">
    <w:nsid w:val="4A8DB59C"/>
    <w:multiLevelType w:val="hybridMultilevel"/>
    <w:lvl w:ilvl="0">
      <w:lvlJc w:val="left"/>
      <w:lvlText w:val="(%1)"/>
      <w:numFmt w:val="lowerRoman"/>
      <w:start w:val="1"/>
    </w:lvl>
  </w:abstractNum>
  <w:abstractNum w:abstractNumId="338">
    <w:nsid w:val="1AFD9053"/>
    <w:multiLevelType w:val="hybridMultilevel"/>
    <w:lvl w:ilvl="0">
      <w:lvlJc w:val="left"/>
      <w:lvlText w:val="(%1)"/>
      <w:numFmt w:val="lowerRoman"/>
      <w:start w:val="1"/>
    </w:lvl>
  </w:abstractNum>
  <w:abstractNum w:abstractNumId="339">
    <w:nsid w:val="558BB10D"/>
    <w:multiLevelType w:val="hybridMultilevel"/>
    <w:lvl w:ilvl="0">
      <w:lvlJc w:val="left"/>
      <w:lvlText w:val="(%1)"/>
      <w:numFmt w:val="lowerRoman"/>
      <w:start w:val="1"/>
    </w:lvl>
  </w:abstractNum>
  <w:abstractNum w:abstractNumId="340">
    <w:nsid w:val="43B27FA7"/>
    <w:multiLevelType w:val="hybridMultilevel"/>
    <w:lvl w:ilvl="0">
      <w:lvlJc w:val="left"/>
      <w:lvlText w:val="(%1)"/>
      <w:numFmt w:val="lowerRoman"/>
      <w:start w:val="13"/>
    </w:lvl>
  </w:abstractNum>
  <w:abstractNum w:abstractNumId="341">
    <w:nsid w:val="27FADEFA"/>
    <w:multiLevelType w:val="hybridMultilevel"/>
    <w:lvl w:ilvl="0">
      <w:lvlJc w:val="left"/>
      <w:lvlText w:val="(%1)"/>
      <w:numFmt w:val="decimal"/>
      <w:start w:val="1"/>
    </w:lvl>
  </w:abstractNum>
  <w:abstractNum w:abstractNumId="342">
    <w:nsid w:val="78BB805A"/>
    <w:multiLevelType w:val="hybridMultilevel"/>
    <w:lvl w:ilvl="0">
      <w:lvlJc w:val="left"/>
      <w:lvlText w:val="(%1)"/>
      <w:numFmt w:val="decimal"/>
      <w:start w:val="2"/>
    </w:lvl>
  </w:abstractNum>
  <w:abstractNum w:abstractNumId="343">
    <w:nsid w:val="62548FD8"/>
    <w:multiLevelType w:val="hybridMultilevel"/>
    <w:lvl w:ilvl="0">
      <w:lvlJc w:val="left"/>
      <w:lvlText w:val="(%1)"/>
      <w:numFmt w:val="lowerRoman"/>
      <w:start w:val="1"/>
    </w:lvl>
  </w:abstractNum>
  <w:abstractNum w:abstractNumId="344">
    <w:nsid w:val="FA085B0"/>
    <w:multiLevelType w:val="hybridMultilevel"/>
    <w:lvl w:ilvl="0">
      <w:lvlJc w:val="left"/>
      <w:lvlText w:val="(%1)"/>
      <w:numFmt w:val="lowerRoman"/>
      <w:start w:val="9"/>
    </w:lvl>
  </w:abstractNum>
  <w:abstractNum w:abstractNumId="345">
    <w:nsid w:val="4E5DCB5"/>
    <w:multiLevelType w:val="hybridMultilevel"/>
    <w:lvl w:ilvl="0">
      <w:lvlJc w:val="left"/>
      <w:lvlText w:val="(%1)"/>
      <w:numFmt w:val="decimal"/>
      <w:start w:val="1"/>
    </w:lvl>
  </w:abstractNum>
  <w:abstractNum w:abstractNumId="346">
    <w:nsid w:val="41E96BDB"/>
    <w:multiLevelType w:val="hybridMultilevel"/>
    <w:lvl w:ilvl="0">
      <w:lvlJc w:val="left"/>
      <w:lvlText w:val="(%1)"/>
      <w:numFmt w:val="decimal"/>
      <w:start w:val="1"/>
    </w:lvl>
  </w:abstractNum>
  <w:abstractNum w:abstractNumId="347">
    <w:nsid w:val="331C4250"/>
    <w:multiLevelType w:val="hybridMultilevel"/>
    <w:lvl w:ilvl="0">
      <w:lvlJc w:val="left"/>
      <w:lvlText w:val="(%1)"/>
      <w:numFmt w:val="decimal"/>
      <w:start w:val="1"/>
    </w:lvl>
  </w:abstractNum>
  <w:abstractNum w:abstractNumId="348">
    <w:nsid w:val="1B1493C2"/>
    <w:multiLevelType w:val="hybridMultilevel"/>
    <w:lvl w:ilvl="0">
      <w:lvlJc w:val="left"/>
      <w:lvlText w:val="(%1)"/>
      <w:numFmt w:val="decimal"/>
      <w:start w:val="8"/>
    </w:lvl>
  </w:abstractNum>
  <w:abstractNum w:abstractNumId="349">
    <w:nsid w:val="39F06DFD"/>
    <w:multiLevelType w:val="hybridMultilevel"/>
    <w:lvl w:ilvl="0">
      <w:lvlJc w:val="left"/>
      <w:lvlText w:val="(%1)"/>
      <w:numFmt w:val="decimal"/>
      <w:start w:val="1"/>
    </w:lvl>
  </w:abstractNum>
  <w:abstractNum w:abstractNumId="350">
    <w:nsid w:val="14802F5D"/>
    <w:multiLevelType w:val="hybridMultilevel"/>
    <w:lvl w:ilvl="0">
      <w:lvlJc w:val="left"/>
      <w:lvlText w:val="(%1)"/>
      <w:numFmt w:val="decimal"/>
      <w:start w:val="3"/>
    </w:lvl>
  </w:abstractNum>
  <w:abstractNum w:abstractNumId="351">
    <w:nsid w:val="2774A209"/>
    <w:multiLevelType w:val="hybridMultilevel"/>
    <w:lvl w:ilvl="0">
      <w:lvlJc w:val="left"/>
      <w:lvlText w:val="(%1)"/>
      <w:numFmt w:val="decimal"/>
      <w:start w:val="1"/>
    </w:lvl>
  </w:abstractNum>
  <w:abstractNum w:abstractNumId="352">
    <w:nsid w:val="3785655A"/>
    <w:multiLevelType w:val="hybridMultilevel"/>
    <w:lvl w:ilvl="0">
      <w:lvlJc w:val="left"/>
      <w:lvlText w:val="(%1)"/>
      <w:numFmt w:val="decimal"/>
      <w:start w:val="1"/>
    </w:lvl>
  </w:abstractNum>
  <w:abstractNum w:abstractNumId="353">
    <w:nsid w:val="B2172A"/>
    <w:multiLevelType w:val="hybridMultilevel"/>
    <w:lvl w:ilvl="0">
      <w:lvlJc w:val="left"/>
      <w:lvlText w:val="(%1)"/>
      <w:numFmt w:val="decimal"/>
      <w:start w:val="1"/>
    </w:lvl>
  </w:abstractNum>
  <w:abstractNum w:abstractNumId="354">
    <w:nsid w:val="532C34A5"/>
    <w:multiLevelType w:val="hybridMultilevel"/>
    <w:lvl w:ilvl="0">
      <w:lvlJc w:val="left"/>
      <w:lvlText w:val="%1."/>
      <w:numFmt w:val="decimal"/>
      <w:start w:val="1"/>
    </w:lvl>
  </w:abstractNum>
  <w:abstractNum w:abstractNumId="355">
    <w:nsid w:val="102809E2"/>
    <w:multiLevelType w:val="hybridMultilevel"/>
    <w:lvl w:ilvl="0">
      <w:lvlJc w:val="left"/>
      <w:lvlText w:val="%1."/>
      <w:numFmt w:val="decimal"/>
      <w:start w:val="1"/>
    </w:lvl>
  </w:abstractNum>
  <w:abstractNum w:abstractNumId="356">
    <w:nsid w:val="3B2125A3"/>
    <w:multiLevelType w:val="hybridMultilevel"/>
    <w:lvl w:ilvl="0">
      <w:lvlJc w:val="left"/>
      <w:lvlText w:val="%1."/>
      <w:numFmt w:val="decimal"/>
      <w:start w:val="2"/>
    </w:lvl>
  </w:abstractNum>
  <w:abstractNum w:abstractNumId="357">
    <w:nsid w:val="AC68FFB"/>
    <w:multiLevelType w:val="hybridMultilevel"/>
    <w:lvl w:ilvl="0">
      <w:lvlJc w:val="left"/>
      <w:lvlText w:val="%1."/>
      <w:numFmt w:val="decimal"/>
      <w:start w:val="3"/>
    </w:lvl>
  </w:abstractNum>
  <w:abstractNum w:abstractNumId="358">
    <w:nsid w:val="63DF3FB7"/>
    <w:multiLevelType w:val="hybridMultilevel"/>
    <w:lvl w:ilvl="0">
      <w:lvlJc w:val="left"/>
      <w:lvlText w:val="%1."/>
      <w:numFmt w:val="decimal"/>
      <w:start w:val="4"/>
    </w:lvl>
  </w:abstractNum>
  <w:abstractNum w:abstractNumId="359">
    <w:nsid w:val="64996E13"/>
    <w:multiLevelType w:val="hybridMultilevel"/>
    <w:lvl w:ilvl="0">
      <w:lvlJc w:val="left"/>
      <w:lvlText w:val="%1."/>
      <w:numFmt w:val="decimal"/>
      <w:start w:val="5"/>
    </w:lvl>
  </w:abstractNum>
  <w:abstractNum w:abstractNumId="360">
    <w:nsid w:val="57A37D47"/>
    <w:multiLevelType w:val="hybridMultilevel"/>
    <w:lvl w:ilvl="0">
      <w:lvlJc w:val="left"/>
      <w:lvlText w:val="%1."/>
      <w:numFmt w:val="decimal"/>
      <w:start w:val="6"/>
    </w:lvl>
  </w:abstractNum>
  <w:abstractNum w:abstractNumId="361">
    <w:nsid w:val="74824D54"/>
    <w:multiLevelType w:val="hybridMultilevel"/>
    <w:lvl w:ilvl="0">
      <w:lvlJc w:val="left"/>
      <w:lvlText w:val="%1."/>
      <w:numFmt w:val="decimal"/>
      <w:start w:val="7"/>
    </w:lvl>
  </w:abstractNum>
  <w:abstractNum w:abstractNumId="362">
    <w:nsid w:val="6F00529A"/>
    <w:multiLevelType w:val="hybridMultilevel"/>
    <w:lvl w:ilvl="0">
      <w:lvlJc w:val="left"/>
      <w:lvlText w:val="(%1)"/>
      <w:numFmt w:val="decimal"/>
      <w:start w:val="1"/>
    </w:lvl>
  </w:abstractNum>
  <w:abstractNum w:abstractNumId="363">
    <w:nsid w:val="805B331"/>
    <w:multiLevelType w:val="hybridMultilevel"/>
    <w:lvl w:ilvl="0">
      <w:lvlJc w:val="left"/>
      <w:lvlText w:val="%1."/>
      <w:numFmt w:val="decimal"/>
      <w:start w:val="1"/>
    </w:lvl>
  </w:abstractNum>
  <w:abstractNum w:abstractNumId="364">
    <w:nsid w:val="60A1463"/>
    <w:multiLevelType w:val="hybridMultilevel"/>
    <w:lvl w:ilvl="0">
      <w:lvlJc w:val="left"/>
      <w:lvlText w:val="%1."/>
      <w:numFmt w:val="decimal"/>
      <w:start w:val="1"/>
    </w:lvl>
  </w:abstractNum>
  <w:abstractNum w:abstractNumId="365">
    <w:nsid w:val="43773132"/>
    <w:multiLevelType w:val="hybridMultilevel"/>
    <w:lvl w:ilvl="0">
      <w:lvlJc w:val="left"/>
      <w:lvlText w:val="%1."/>
      <w:numFmt w:val="decimal"/>
      <w:start w:val="2"/>
    </w:lvl>
  </w:abstractNum>
  <w:abstractNum w:abstractNumId="366">
    <w:nsid w:val="16AC4B23"/>
    <w:multiLevelType w:val="hybridMultilevel"/>
    <w:lvl w:ilvl="0">
      <w:lvlJc w:val="left"/>
      <w:lvlText w:val="%1."/>
      <w:numFmt w:val="decimal"/>
      <w:start w:val="3"/>
    </w:lvl>
  </w:abstractNum>
  <w:abstractNum w:abstractNumId="367">
    <w:nsid w:val="76C44E4E"/>
    <w:multiLevelType w:val="hybridMultilevel"/>
    <w:lvl w:ilvl="0">
      <w:lvlJc w:val="left"/>
      <w:lvlText w:val="%1."/>
      <w:numFmt w:val="decimal"/>
      <w:start w:val="4"/>
    </w:lvl>
  </w:abstractNum>
  <w:abstractNum w:abstractNumId="368">
    <w:nsid w:val="E04E6CE"/>
    <w:multiLevelType w:val="hybridMultilevel"/>
    <w:lvl w:ilvl="0">
      <w:lvlJc w:val="left"/>
      <w:lvlText w:val="%1."/>
      <w:numFmt w:val="decimal"/>
      <w:start w:val="6"/>
    </w:lvl>
  </w:abstractNum>
  <w:abstractNum w:abstractNumId="369">
    <w:nsid w:val="31A9DB76"/>
    <w:multiLevelType w:val="hybridMultilevel"/>
    <w:lvl w:ilvl="0">
      <w:lvlJc w:val="left"/>
      <w:lvlText w:val="%1."/>
      <w:numFmt w:val="decimal"/>
      <w:start w:val="7"/>
    </w:lvl>
  </w:abstractNum>
  <w:abstractNum w:abstractNumId="370">
    <w:nsid w:val="4C4FFF5B"/>
    <w:multiLevelType w:val="hybridMultilevel"/>
    <w:lvl w:ilvl="0">
      <w:lvlJc w:val="left"/>
      <w:lvlText w:val="(%1)"/>
      <w:numFmt w:val="decimal"/>
      <w:start w:val="1"/>
    </w:lvl>
  </w:abstractNum>
  <w:abstractNum w:abstractNumId="371">
    <w:nsid w:val="51B76675"/>
    <w:multiLevelType w:val="hybridMultilevel"/>
    <w:lvl w:ilvl="0">
      <w:lvlJc w:val="left"/>
      <w:lvlText w:val="%1."/>
      <w:numFmt w:val="decimal"/>
      <w:start w:val="1"/>
    </w:lvl>
  </w:abstractNum>
  <w:abstractNum w:abstractNumId="372">
    <w:nsid w:val="59A4BA71"/>
    <w:multiLevelType w:val="hybridMultilevel"/>
    <w:lvl w:ilvl="0">
      <w:lvlJc w:val="left"/>
      <w:lvlText w:val="%1."/>
      <w:numFmt w:val="decimal"/>
      <w:start w:val="1"/>
    </w:lvl>
  </w:abstractNum>
  <w:abstractNum w:abstractNumId="373">
    <w:nsid w:val="450B7FB6"/>
    <w:multiLevelType w:val="hybridMultilevel"/>
    <w:lvl w:ilvl="0">
      <w:lvlJc w:val="left"/>
      <w:lvlText w:val="%1."/>
      <w:numFmt w:val="decimal"/>
      <w:start w:val="2"/>
    </w:lvl>
  </w:abstractNum>
  <w:abstractNum w:abstractNumId="374">
    <w:nsid w:val="340BF64D"/>
    <w:multiLevelType w:val="hybridMultilevel"/>
    <w:lvl w:ilvl="0">
      <w:lvlJc w:val="left"/>
      <w:lvlText w:val="%1."/>
      <w:numFmt w:val="decimal"/>
      <w:start w:val="3"/>
    </w:lvl>
  </w:abstractNum>
  <w:abstractNum w:abstractNumId="375">
    <w:nsid w:val="69454021"/>
    <w:multiLevelType w:val="hybridMultilevel"/>
    <w:lvl w:ilvl="0">
      <w:lvlJc w:val="left"/>
      <w:lvlText w:val="%1."/>
      <w:numFmt w:val="decimal"/>
      <w:start w:val="4"/>
    </w:lvl>
  </w:abstractNum>
  <w:abstractNum w:abstractNumId="376">
    <w:nsid w:val="49F15C6B"/>
    <w:multiLevelType w:val="hybridMultilevel"/>
    <w:lvl w:ilvl="0">
      <w:lvlJc w:val="left"/>
      <w:lvlText w:val="%1."/>
      <w:numFmt w:val="decimal"/>
      <w:start w:val="5"/>
    </w:lvl>
  </w:abstractNum>
  <w:abstractNum w:abstractNumId="377">
    <w:nsid w:val="75F56228"/>
    <w:multiLevelType w:val="hybridMultilevel"/>
    <w:lvl w:ilvl="0">
      <w:lvlJc w:val="left"/>
      <w:lvlText w:val="%1."/>
      <w:numFmt w:val="decimal"/>
      <w:start w:val="6"/>
    </w:lvl>
  </w:abstractNum>
  <w:abstractNum w:abstractNumId="378">
    <w:nsid w:val="1C618271"/>
    <w:multiLevelType w:val="hybridMultilevel"/>
    <w:lvl w:ilvl="0">
      <w:lvlJc w:val="left"/>
      <w:lvlText w:val="%1."/>
      <w:numFmt w:val="decimal"/>
      <w:start w:val="7"/>
    </w:lvl>
  </w:abstractNum>
  <w:abstractNum w:abstractNumId="379">
    <w:nsid w:val="6505F02E"/>
    <w:multiLevelType w:val="hybridMultilevel"/>
    <w:lvl w:ilvl="0">
      <w:lvlJc w:val="left"/>
      <w:lvlText w:val="%1."/>
      <w:numFmt w:val="decimal"/>
      <w:start w:val="1"/>
    </w:lvl>
  </w:abstractNum>
  <w:abstractNum w:abstractNumId="380">
    <w:nsid w:val="2FE5D025"/>
    <w:multiLevelType w:val="hybridMultilevel"/>
    <w:lvl w:ilvl="0">
      <w:lvlJc w:val="left"/>
      <w:lvlText w:val="%1."/>
      <w:numFmt w:val="decimal"/>
      <w:start w:val="1"/>
    </w:lvl>
  </w:abstractNum>
  <w:abstractNum w:abstractNumId="381">
    <w:nsid w:val="30E1B1CF"/>
    <w:multiLevelType w:val="hybridMultilevel"/>
    <w:lvl w:ilvl="0">
      <w:lvlJc w:val="left"/>
      <w:lvlText w:val="%1."/>
      <w:numFmt w:val="decimal"/>
      <w:start w:val="2"/>
    </w:lvl>
  </w:abstractNum>
  <w:abstractNum w:abstractNumId="382">
    <w:nsid w:val="C7A9237"/>
    <w:multiLevelType w:val="hybridMultilevel"/>
    <w:lvl w:ilvl="0">
      <w:lvlJc w:val="left"/>
      <w:lvlText w:val="%1."/>
      <w:numFmt w:val="decimal"/>
      <w:start w:val="3"/>
    </w:lvl>
  </w:abstractNum>
  <w:abstractNum w:abstractNumId="383">
    <w:nsid w:val="676B3580"/>
    <w:multiLevelType w:val="hybridMultilevel"/>
    <w:lvl w:ilvl="0">
      <w:lvlJc w:val="left"/>
      <w:lvlText w:val="%1."/>
      <w:numFmt w:val="decimal"/>
      <w:start w:val="4"/>
    </w:lvl>
  </w:abstractNum>
  <w:abstractNum w:abstractNumId="384">
    <w:nsid w:val="3193C8F9"/>
    <w:multiLevelType w:val="hybridMultilevel"/>
    <w:lvl w:ilvl="0">
      <w:lvlJc w:val="left"/>
      <w:lvlText w:val="%1."/>
      <w:numFmt w:val="decimal"/>
      <w:start w:val="5"/>
    </w:lvl>
  </w:abstractNum>
  <w:abstractNum w:abstractNumId="385">
    <w:nsid w:val="5FA6C6DC"/>
    <w:multiLevelType w:val="hybridMultilevel"/>
    <w:lvl w:ilvl="0">
      <w:lvlJc w:val="left"/>
      <w:lvlText w:val="%1."/>
      <w:numFmt w:val="decimal"/>
      <w:start w:val="6"/>
    </w:lvl>
  </w:abstractNum>
  <w:abstractNum w:abstractNumId="386">
    <w:nsid w:val="77933F62"/>
    <w:multiLevelType w:val="hybridMultilevel"/>
    <w:lvl w:ilvl="0">
      <w:lvlJc w:val="left"/>
      <w:lvlText w:val="%1."/>
      <w:numFmt w:val="decimal"/>
      <w:start w:val="8"/>
    </w:lvl>
  </w:abstractNum>
  <w:abstractNum w:abstractNumId="387">
    <w:nsid w:val="6CB4EE9C"/>
    <w:multiLevelType w:val="hybridMultilevel"/>
    <w:lvl w:ilvl="0">
      <w:lvlJc w:val="left"/>
      <w:lvlText w:val="%1."/>
      <w:numFmt w:val="decimal"/>
      <w:start w:val="9"/>
    </w:lvl>
  </w:abstractNum>
  <w:abstractNum w:abstractNumId="388">
    <w:nsid w:val="6A6D56D7"/>
    <w:multiLevelType w:val="hybridMultilevel"/>
    <w:lvl w:ilvl="0">
      <w:lvlJc w:val="left"/>
      <w:lvlText w:val="%1."/>
      <w:numFmt w:val="decimal"/>
      <w:start w:val="1"/>
    </w:lvl>
  </w:abstractNum>
  <w:abstractNum w:abstractNumId="389">
    <w:nsid w:val="5B727F19"/>
    <w:multiLevelType w:val="hybridMultilevel"/>
    <w:lvl w:ilvl="0">
      <w:lvlJc w:val="left"/>
      <w:lvlText w:val="%1."/>
      <w:numFmt w:val="decimal"/>
      <w:start w:val="1"/>
    </w:lvl>
  </w:abstractNum>
  <w:abstractNum w:abstractNumId="390">
    <w:nsid w:val="514E5CB0"/>
    <w:multiLevelType w:val="hybridMultilevel"/>
    <w:lvl w:ilvl="0">
      <w:lvlJc w:val="left"/>
      <w:lvlText w:val="%1."/>
      <w:numFmt w:val="decimal"/>
      <w:start w:val="2"/>
    </w:lvl>
  </w:abstractNum>
  <w:abstractNum w:abstractNumId="391">
    <w:nsid w:val="4210D41E"/>
    <w:multiLevelType w:val="hybridMultilevel"/>
    <w:lvl w:ilvl="0">
      <w:lvlJc w:val="left"/>
      <w:lvlText w:val="%1."/>
      <w:numFmt w:val="decimal"/>
      <w:start w:val="3"/>
    </w:lvl>
  </w:abstractNum>
  <w:abstractNum w:abstractNumId="392">
    <w:nsid w:val="4FF4CC6D"/>
    <w:multiLevelType w:val="hybridMultilevel"/>
    <w:lvl w:ilvl="0">
      <w:lvlJc w:val="left"/>
      <w:lvlText w:val="%1."/>
      <w:numFmt w:val="decimal"/>
      <w:start w:val="4"/>
    </w:lvl>
  </w:abstractNum>
  <w:abstractNum w:abstractNumId="393">
    <w:nsid w:val="404EAF4A"/>
    <w:multiLevelType w:val="hybridMultilevel"/>
    <w:lvl w:ilvl="0">
      <w:lvlJc w:val="left"/>
      <w:lvlText w:val="%1."/>
      <w:numFmt w:val="decimal"/>
      <w:start w:val="5"/>
    </w:lvl>
  </w:abstractNum>
  <w:abstractNum w:abstractNumId="394">
    <w:nsid w:val="4A16874F"/>
    <w:multiLevelType w:val="hybridMultilevel"/>
    <w:lvl w:ilvl="0">
      <w:lvlJc w:val="left"/>
      <w:lvlText w:val="%1."/>
      <w:numFmt w:val="decimal"/>
      <w:start w:val="6"/>
    </w:lvl>
  </w:abstractNum>
  <w:abstractNum w:abstractNumId="395">
    <w:nsid w:val="55FEE0D1"/>
    <w:multiLevelType w:val="hybridMultilevel"/>
    <w:lvl w:ilvl="0">
      <w:lvlJc w:val="left"/>
      <w:lvlText w:val="%1."/>
      <w:numFmt w:val="decimal"/>
      <w:start w:val="8"/>
    </w:lvl>
  </w:abstractNum>
  <w:abstractNum w:abstractNumId="396">
    <w:nsid w:val="3C5E07C"/>
    <w:multiLevelType w:val="hybridMultilevel"/>
    <w:lvl w:ilvl="0">
      <w:lvlJc w:val="left"/>
      <w:lvlText w:val="%1."/>
      <w:numFmt w:val="decimal"/>
      <w:start w:val="9"/>
    </w:lvl>
  </w:abstractNum>
  <w:abstractNum w:abstractNumId="397">
    <w:nsid w:val="60C2D273"/>
    <w:multiLevelType w:val="hybridMultilevel"/>
    <w:lvl w:ilvl="0">
      <w:lvlJc w:val="left"/>
      <w:lvlText w:val="%1."/>
      <w:numFmt w:val="decimal"/>
      <w:start w:val="1"/>
    </w:lvl>
  </w:abstractNum>
  <w:abstractNum w:abstractNumId="398">
    <w:nsid w:val="4CC32F1F"/>
    <w:multiLevelType w:val="hybridMultilevel"/>
    <w:lvl w:ilvl="0">
      <w:lvlJc w:val="left"/>
      <w:lvlText w:val="%1."/>
      <w:numFmt w:val="decimal"/>
      <w:start w:val="1"/>
    </w:lvl>
  </w:abstractNum>
  <w:abstractNum w:abstractNumId="399">
    <w:nsid w:val="11CAC74A"/>
    <w:multiLevelType w:val="hybridMultilevel"/>
    <w:lvl w:ilvl="0">
      <w:lvlJc w:val="left"/>
      <w:lvlText w:val="%1."/>
      <w:numFmt w:val="decimal"/>
      <w:start w:val="2"/>
    </w:lvl>
  </w:abstractNum>
  <w:abstractNum w:abstractNumId="400">
    <w:nsid w:val="126CADE9"/>
    <w:multiLevelType w:val="hybridMultilevel"/>
    <w:lvl w:ilvl="0">
      <w:lvlJc w:val="left"/>
      <w:lvlText w:val="%1."/>
      <w:numFmt w:val="decimal"/>
      <w:start w:val="3"/>
    </w:lvl>
  </w:abstractNum>
  <w:abstractNum w:abstractNumId="401">
    <w:nsid w:val="19132E7B"/>
    <w:multiLevelType w:val="hybridMultilevel"/>
    <w:lvl w:ilvl="0">
      <w:lvlJc w:val="left"/>
      <w:lvlText w:val="%1."/>
      <w:numFmt w:val="decimal"/>
      <w:start w:val="4"/>
    </w:lvl>
  </w:abstractNum>
  <w:abstractNum w:abstractNumId="402">
    <w:nsid w:val="63822DC0"/>
    <w:multiLevelType w:val="hybridMultilevel"/>
    <w:lvl w:ilvl="0">
      <w:lvlJc w:val="left"/>
      <w:lvlText w:val="%1."/>
      <w:numFmt w:val="decimal"/>
      <w:start w:val="6"/>
    </w:lvl>
  </w:abstractNum>
  <w:abstractNum w:abstractNumId="403">
    <w:nsid w:val="6C11685A"/>
    <w:multiLevelType w:val="hybridMultilevel"/>
    <w:lvl w:ilvl="0">
      <w:lvlJc w:val="left"/>
      <w:lvlText w:val="%1."/>
      <w:numFmt w:val="decimal"/>
      <w:start w:val="7"/>
    </w:lvl>
  </w:abstractNum>
  <w:abstractNum w:abstractNumId="404">
    <w:nsid w:val="5E1EAE31"/>
    <w:multiLevelType w:val="hybridMultilevel"/>
    <w:lvl w:ilvl="0">
      <w:lvlJc w:val="left"/>
      <w:lvlText w:val="%1."/>
      <w:numFmt w:val="decimal"/>
      <w:start w:val="8"/>
    </w:lvl>
  </w:abstractNum>
  <w:abstractNum w:abstractNumId="405">
    <w:nsid w:val="178E240D"/>
    <w:multiLevelType w:val="hybridMultilevel"/>
    <w:lvl w:ilvl="0">
      <w:lvlJc w:val="left"/>
      <w:lvlText w:val="%1."/>
      <w:numFmt w:val="decimal"/>
      <w:start w:val="9"/>
    </w:lvl>
  </w:abstractNum>
  <w:abstractNum w:abstractNumId="406">
    <w:nsid w:val="5556A87B"/>
    <w:multiLevelType w:val="hybridMultilevel"/>
    <w:lvl w:ilvl="0">
      <w:lvlJc w:val="left"/>
      <w:lvlText w:val="%1."/>
      <w:numFmt w:val="decimal"/>
      <w:start w:val="11"/>
    </w:lvl>
  </w:abstractNum>
  <w:abstractNum w:abstractNumId="407">
    <w:nsid w:val="28100A9C"/>
    <w:multiLevelType w:val="hybridMultilevel"/>
    <w:lvl w:ilvl="0">
      <w:lvlJc w:val="left"/>
      <w:lvlText w:val="%1."/>
      <w:numFmt w:val="decimal"/>
      <w:start w:val="1"/>
    </w:lvl>
  </w:abstractNum>
  <w:abstractNum w:abstractNumId="408">
    <w:nsid w:val="D838636"/>
    <w:multiLevelType w:val="hybridMultilevel"/>
    <w:lvl w:ilvl="0">
      <w:lvlJc w:val="left"/>
      <w:lvlText w:val="%1."/>
      <w:numFmt w:val="decimal"/>
      <w:start w:val="1"/>
    </w:lvl>
  </w:abstractNum>
  <w:abstractNum w:abstractNumId="409">
    <w:nsid w:val="71B82AED"/>
    <w:multiLevelType w:val="hybridMultilevel"/>
    <w:lvl w:ilvl="0">
      <w:lvlJc w:val="left"/>
      <w:lvlText w:val="(%1)"/>
      <w:numFmt w:val="decimal"/>
      <w:start w:val="1"/>
    </w:lvl>
  </w:abstractNum>
  <w:abstractNum w:abstractNumId="410">
    <w:nsid w:val="D15FACA"/>
    <w:multiLevelType w:val="hybridMultilevel"/>
    <w:lvl w:ilvl="0">
      <w:lvlJc w:val="left"/>
      <w:lvlText w:val="%1."/>
      <w:numFmt w:val="decimal"/>
      <w:start w:val="2"/>
    </w:lvl>
  </w:abstractNum>
  <w:abstractNum w:abstractNumId="411">
    <w:nsid w:val="3D69565B"/>
    <w:multiLevelType w:val="hybridMultilevel"/>
    <w:lvl w:ilvl="0">
      <w:lvlJc w:val="left"/>
      <w:lvlText w:val="(%1)"/>
      <w:numFmt w:val="decimal"/>
      <w:start w:val="1"/>
    </w:lvl>
  </w:abstractNum>
  <w:abstractNum w:abstractNumId="412">
    <w:nsid w:val="2299DCBC"/>
    <w:multiLevelType w:val="hybridMultilevel"/>
    <w:lvl w:ilvl="0">
      <w:lvlJc w:val="left"/>
      <w:lvlText w:val="%1."/>
      <w:numFmt w:val="decimal"/>
      <w:start w:val="3"/>
    </w:lvl>
  </w:abstractNum>
  <w:abstractNum w:abstractNumId="413">
    <w:nsid w:val="19908D02"/>
    <w:multiLevelType w:val="hybridMultilevel"/>
    <w:lvl w:ilvl="0">
      <w:lvlJc w:val="left"/>
      <w:lvlText w:val="%1."/>
      <w:numFmt w:val="decimal"/>
      <w:start w:val="4"/>
    </w:lvl>
  </w:abstractNum>
  <w:abstractNum w:abstractNumId="414">
    <w:nsid w:val="24D48BDB"/>
    <w:multiLevelType w:val="hybridMultilevel"/>
    <w:lvl w:ilvl="0">
      <w:lvlJc w:val="left"/>
      <w:lvlText w:val="%1."/>
      <w:numFmt w:val="decimal"/>
      <w:start w:val="5"/>
    </w:lvl>
  </w:abstractNum>
  <w:abstractNum w:abstractNumId="415">
    <w:nsid w:val="542DA5B5"/>
    <w:multiLevelType w:val="hybridMultilevel"/>
    <w:lvl w:ilvl="0">
      <w:lvlJc w:val="left"/>
      <w:lvlText w:val="%1."/>
      <w:numFmt w:val="decimal"/>
      <w:start w:val="6"/>
    </w:lvl>
  </w:abstractNum>
  <w:abstractNum w:abstractNumId="416">
    <w:nsid w:val="793753DE"/>
    <w:multiLevelType w:val="hybridMultilevel"/>
    <w:lvl w:ilvl="0">
      <w:lvlJc w:val="left"/>
      <w:lvlText w:val="%1."/>
      <w:numFmt w:val="decimal"/>
      <w:start w:val="8"/>
    </w:lvl>
  </w:abstractNum>
  <w:abstractNum w:abstractNumId="417">
    <w:nsid w:val="1C67CB3D"/>
    <w:multiLevelType w:val="hybridMultilevel"/>
    <w:lvl w:ilvl="0">
      <w:lvlJc w:val="left"/>
      <w:lvlText w:val="%1."/>
      <w:numFmt w:val="decimal"/>
      <w:start w:val="9"/>
    </w:lvl>
  </w:abstractNum>
  <w:abstractNum w:abstractNumId="418">
    <w:nsid w:val="40E29452"/>
    <w:multiLevelType w:val="hybridMultilevel"/>
    <w:lvl w:ilvl="0">
      <w:lvlJc w:val="left"/>
      <w:lvlText w:val="%1."/>
      <w:numFmt w:val="decimal"/>
      <w:start w:val="10"/>
    </w:lvl>
  </w:abstractNum>
  <w:abstractNum w:abstractNumId="419">
    <w:nsid w:val="63A4AAB6"/>
    <w:multiLevelType w:val="hybridMultilevel"/>
    <w:lvl w:ilvl="0">
      <w:lvlJc w:val="left"/>
      <w:lvlText w:val="%1."/>
      <w:numFmt w:val="decimal"/>
      <w:start w:val="13"/>
    </w:lvl>
  </w:abstractNum>
  <w:abstractNum w:abstractNumId="420">
    <w:nsid w:val="77DA4A57"/>
    <w:multiLevelType w:val="hybridMultilevel"/>
    <w:lvl w:ilvl="0">
      <w:lvlJc w:val="left"/>
      <w:lvlText w:val="%1."/>
      <w:numFmt w:val="decimal"/>
      <w:start w:val="1"/>
    </w:lvl>
  </w:abstractNum>
  <w:abstractNum w:abstractNumId="421">
    <w:nsid w:val="1230F102"/>
    <w:multiLevelType w:val="hybridMultilevel"/>
    <w:lvl w:ilvl="0">
      <w:lvlJc w:val="left"/>
      <w:lvlText w:val="%1."/>
      <w:numFmt w:val="decimal"/>
      <w:start w:val="1"/>
    </w:lvl>
  </w:abstractNum>
  <w:abstractNum w:abstractNumId="422">
    <w:nsid w:val="25B57ED4"/>
    <w:multiLevelType w:val="hybridMultilevel"/>
    <w:lvl w:ilvl="0">
      <w:lvlJc w:val="left"/>
      <w:lvlText w:val="(%1)"/>
      <w:numFmt w:val="decimal"/>
      <w:start w:val="1"/>
    </w:lvl>
  </w:abstractNum>
  <w:abstractNum w:abstractNumId="423">
    <w:nsid w:val="47CF16C4"/>
    <w:multiLevelType w:val="hybridMultilevel"/>
    <w:lvl w:ilvl="0">
      <w:lvlJc w:val="left"/>
      <w:lvlText w:val="%1."/>
      <w:numFmt w:val="decimal"/>
      <w:start w:val="2"/>
    </w:lvl>
  </w:abstractNum>
  <w:abstractNum w:abstractNumId="424">
    <w:nsid w:val="527FA04C"/>
    <w:multiLevelType w:val="hybridMultilevel"/>
    <w:lvl w:ilvl="0">
      <w:lvlJc w:val="left"/>
      <w:lvlText w:val="(%1)"/>
      <w:numFmt w:val="decimal"/>
      <w:start w:val="1"/>
    </w:lvl>
  </w:abstractNum>
  <w:abstractNum w:abstractNumId="425">
    <w:nsid w:val="6FCC0624"/>
    <w:multiLevelType w:val="hybridMultilevel"/>
    <w:lvl w:ilvl="0">
      <w:lvlJc w:val="left"/>
      <w:lvlText w:val="%1."/>
      <w:numFmt w:val="decimal"/>
      <w:start w:val="3"/>
    </w:lvl>
  </w:abstractNum>
  <w:abstractNum w:abstractNumId="426">
    <w:nsid w:val="1DCDF795"/>
    <w:multiLevelType w:val="hybridMultilevel"/>
    <w:lvl w:ilvl="0">
      <w:lvlJc w:val="left"/>
      <w:lvlText w:val="%1."/>
      <w:numFmt w:val="decimal"/>
      <w:start w:val="4"/>
    </w:lvl>
  </w:abstractNum>
  <w:abstractNum w:abstractNumId="427">
    <w:nsid w:val="564580C8"/>
    <w:multiLevelType w:val="hybridMultilevel"/>
    <w:lvl w:ilvl="0">
      <w:lvlJc w:val="left"/>
      <w:lvlText w:val="%1."/>
      <w:numFmt w:val="decimal"/>
      <w:start w:val="5"/>
    </w:lvl>
  </w:abstractNum>
  <w:abstractNum w:abstractNumId="428">
    <w:nsid w:val="508ED897"/>
    <w:multiLevelType w:val="hybridMultilevel"/>
    <w:lvl w:ilvl="0">
      <w:lvlJc w:val="left"/>
      <w:lvlText w:val="%1."/>
      <w:numFmt w:val="decimal"/>
      <w:start w:val="6"/>
    </w:lvl>
    <w:lvl w:ilvl="1">
      <w:lvlJc w:val="left"/>
      <w:lvlText w:val="(%2)"/>
      <w:numFmt w:val="decimal"/>
      <w:start w:val="30"/>
    </w:lvl>
  </w:abstractNum>
  <w:abstractNum w:abstractNumId="429">
    <w:nsid w:val="6A9126B5"/>
    <w:multiLevelType w:val="hybridMultilevel"/>
    <w:lvl w:ilvl="0">
      <w:lvlJc w:val="left"/>
      <w:lvlText w:val="%1."/>
      <w:numFmt w:val="decimal"/>
      <w:start w:val="7"/>
    </w:lvl>
  </w:abstractNum>
  <w:abstractNum w:abstractNumId="430">
    <w:nsid w:val="68104812"/>
    <w:multiLevelType w:val="hybridMultilevel"/>
    <w:lvl w:ilvl="0">
      <w:lvlJc w:val="left"/>
      <w:lvlText w:val="%1."/>
      <w:numFmt w:val="decimal"/>
      <w:start w:val="8"/>
    </w:lvl>
  </w:abstractNum>
  <w:abstractNum w:abstractNumId="431">
    <w:nsid w:val="62FB8680"/>
    <w:multiLevelType w:val="hybridMultilevel"/>
    <w:lvl w:ilvl="0">
      <w:lvlJc w:val="left"/>
      <w:lvlText w:val="%1."/>
      <w:numFmt w:val="decimal"/>
      <w:start w:val="10"/>
    </w:lvl>
  </w:abstractNum>
  <w:abstractNum w:abstractNumId="432">
    <w:nsid w:val="3A45530"/>
    <w:multiLevelType w:val="hybridMultilevel"/>
    <w:lvl w:ilvl="0">
      <w:lvlJc w:val="left"/>
      <w:lvlText w:val="%1."/>
      <w:numFmt w:val="decimal"/>
      <w:start w:val="11"/>
    </w:lvl>
  </w:abstractNum>
  <w:abstractNum w:abstractNumId="433">
    <w:nsid w:val="4B9275D2"/>
    <w:multiLevelType w:val="hybridMultilevel"/>
    <w:lvl w:ilvl="0">
      <w:lvlJc w:val="left"/>
      <w:lvlText w:val="%1."/>
      <w:numFmt w:val="decimal"/>
      <w:start w:val="12"/>
    </w:lvl>
  </w:abstractNum>
  <w:abstractNum w:abstractNumId="434">
    <w:nsid w:val="4F0CEEDB"/>
    <w:multiLevelType w:val="hybridMultilevel"/>
    <w:lvl w:ilvl="0">
      <w:lvlJc w:val="left"/>
      <w:lvlText w:val="%1."/>
      <w:numFmt w:val="decimal"/>
      <w:start w:val="1"/>
    </w:lvl>
  </w:abstractNum>
  <w:abstractNum w:abstractNumId="435">
    <w:nsid w:val="61C30361"/>
    <w:multiLevelType w:val="hybridMultilevel"/>
    <w:lvl w:ilvl="0">
      <w:lvlJc w:val="left"/>
      <w:lvlText w:val="%1."/>
      <w:numFmt w:val="decimal"/>
      <w:start w:val="1"/>
    </w:lvl>
  </w:abstractNum>
  <w:abstractNum w:abstractNumId="436">
    <w:nsid w:val="632099E0"/>
    <w:multiLevelType w:val="hybridMultilevel"/>
    <w:lvl w:ilvl="0">
      <w:lvlJc w:val="left"/>
      <w:lvlText w:val="(%1)"/>
      <w:numFmt w:val="decimal"/>
      <w:start w:val="1"/>
    </w:lvl>
  </w:abstractNum>
  <w:abstractNum w:abstractNumId="437">
    <w:nsid w:val="24639756"/>
    <w:multiLevelType w:val="hybridMultilevel"/>
    <w:lvl w:ilvl="0">
      <w:lvlJc w:val="left"/>
      <w:lvlText w:val="%1."/>
      <w:numFmt w:val="decimal"/>
      <w:start w:val="2"/>
    </w:lvl>
  </w:abstractNum>
  <w:abstractNum w:abstractNumId="438">
    <w:nsid w:val="9D30DFD"/>
    <w:multiLevelType w:val="hybridMultilevel"/>
    <w:lvl w:ilvl="0">
      <w:lvlJc w:val="left"/>
      <w:lvlText w:val="(%1)"/>
      <w:numFmt w:val="decimal"/>
      <w:start w:val="1"/>
    </w:lvl>
  </w:abstractNum>
  <w:abstractNum w:abstractNumId="439">
    <w:nsid w:val="70A42016"/>
    <w:multiLevelType w:val="hybridMultilevel"/>
    <w:lvl w:ilvl="0">
      <w:lvlJc w:val="left"/>
      <w:lvlText w:val="%1."/>
      <w:numFmt w:val="decimal"/>
      <w:start w:val="3"/>
    </w:lvl>
  </w:abstractNum>
  <w:abstractNum w:abstractNumId="440">
    <w:nsid w:val="161BC243"/>
    <w:multiLevelType w:val="hybridMultilevel"/>
    <w:lvl w:ilvl="0">
      <w:lvlJc w:val="left"/>
      <w:lvlText w:val="%1."/>
      <w:numFmt w:val="decimal"/>
      <w:start w:val="4"/>
    </w:lvl>
  </w:abstractNum>
  <w:abstractNum w:abstractNumId="441">
    <w:nsid w:val="16E908C8"/>
    <w:multiLevelType w:val="hybridMultilevel"/>
    <w:lvl w:ilvl="0">
      <w:lvlJc w:val="left"/>
      <w:lvlText w:val="%1."/>
      <w:numFmt w:val="decimal"/>
      <w:start w:val="5"/>
    </w:lvl>
  </w:abstractNum>
  <w:abstractNum w:abstractNumId="442">
    <w:nsid w:val="2E0D7671"/>
    <w:multiLevelType w:val="hybridMultilevel"/>
    <w:lvl w:ilvl="0">
      <w:lvlJc w:val="left"/>
      <w:lvlText w:val="%1."/>
      <w:numFmt w:val="decimal"/>
      <w:start w:val="6"/>
    </w:lvl>
  </w:abstractNum>
  <w:abstractNum w:abstractNumId="443">
    <w:nsid w:val="38B59EFF"/>
    <w:multiLevelType w:val="hybridMultilevel"/>
    <w:lvl w:ilvl="0">
      <w:lvlJc w:val="left"/>
      <w:lvlText w:val="%1."/>
      <w:numFmt w:val="decimal"/>
      <w:start w:val="8"/>
    </w:lvl>
  </w:abstractNum>
  <w:abstractNum w:abstractNumId="444">
    <w:nsid w:val="307995CA"/>
    <w:multiLevelType w:val="hybridMultilevel"/>
    <w:lvl w:ilvl="0">
      <w:lvlJc w:val="left"/>
      <w:lvlText w:val="%1."/>
      <w:numFmt w:val="decimal"/>
      <w:start w:val="10"/>
    </w:lvl>
  </w:abstractNum>
  <w:abstractNum w:abstractNumId="445">
    <w:nsid w:val="52E2024D"/>
    <w:multiLevelType w:val="hybridMultilevel"/>
    <w:lvl w:ilvl="0">
      <w:lvlJc w:val="left"/>
      <w:lvlText w:val="%1."/>
      <w:numFmt w:val="decimal"/>
      <w:start w:val="11"/>
    </w:lvl>
  </w:abstractNum>
  <w:abstractNum w:abstractNumId="446">
    <w:nsid w:val="CE344B5"/>
    <w:multiLevelType w:val="hybridMultilevel"/>
    <w:lvl w:ilvl="0">
      <w:lvlJc w:val="left"/>
      <w:lvlText w:val="%1."/>
      <w:numFmt w:val="decimal"/>
      <w:start w:val="13"/>
    </w:lvl>
  </w:abstractNum>
  <w:abstractNum w:abstractNumId="447">
    <w:nsid w:val="29B0E9A8"/>
    <w:multiLevelType w:val="hybridMultilevel"/>
    <w:lvl w:ilvl="0">
      <w:lvlJc w:val="left"/>
      <w:lvlText w:val="%1."/>
      <w:numFmt w:val="decimal"/>
      <w:start w:val="1"/>
    </w:lvl>
  </w:abstractNum>
  <w:abstractNum w:abstractNumId="448">
    <w:nsid w:val="6F49CD8A"/>
    <w:multiLevelType w:val="hybridMultilevel"/>
    <w:lvl w:ilvl="0">
      <w:lvlJc w:val="left"/>
      <w:lvlText w:val="%1."/>
      <w:numFmt w:val="decimal"/>
      <w:start w:val="3"/>
    </w:lvl>
  </w:abstractNum>
  <w:abstractNum w:abstractNumId="449">
    <w:nsid w:val="4DC5D907"/>
    <w:multiLevelType w:val="hybridMultilevel"/>
    <w:lvl w:ilvl="0">
      <w:lvlJc w:val="left"/>
      <w:lvlText w:val="%1."/>
      <w:numFmt w:val="decimal"/>
      <w:start w:val="1"/>
    </w:lvl>
  </w:abstractNum>
  <w:abstractNum w:abstractNumId="450">
    <w:nsid w:val="D55945E"/>
    <w:multiLevelType w:val="hybridMultilevel"/>
    <w:lvl w:ilvl="0">
      <w:lvlJc w:val="left"/>
      <w:lvlText w:val="%1."/>
      <w:numFmt w:val="decimal"/>
      <w:start w:val="2"/>
    </w:lvl>
  </w:abstractNum>
  <w:abstractNum w:abstractNumId="451">
    <w:nsid w:val="672417E1"/>
    <w:multiLevelType w:val="hybridMultilevel"/>
    <w:lvl w:ilvl="0">
      <w:lvlJc w:val="left"/>
      <w:lvlText w:val="%1."/>
      <w:numFmt w:val="decimal"/>
      <w:start w:val="3"/>
    </w:lvl>
  </w:abstractNum>
  <w:abstractNum w:abstractNumId="452">
    <w:nsid w:val="5FF6CA09"/>
    <w:multiLevelType w:val="hybridMultilevel"/>
    <w:lvl w:ilvl="0">
      <w:lvlJc w:val="left"/>
      <w:lvlText w:val="%1."/>
      <w:numFmt w:val="decimal"/>
      <w:start w:val="4"/>
    </w:lvl>
  </w:abstractNum>
  <w:abstractNum w:abstractNumId="453">
    <w:nsid w:val="330B1333"/>
    <w:multiLevelType w:val="hybridMultilevel"/>
    <w:lvl w:ilvl="0">
      <w:lvlJc w:val="left"/>
      <w:lvlText w:val="%1."/>
      <w:numFmt w:val="decimal"/>
      <w:start w:val="6"/>
    </w:lvl>
  </w:abstractNum>
  <w:abstractNum w:abstractNumId="454">
    <w:nsid w:val="2EF32EA6"/>
    <w:multiLevelType w:val="hybridMultilevel"/>
    <w:lvl w:ilvl="0">
      <w:lvlJc w:val="left"/>
      <w:lvlText w:val="%1."/>
      <w:numFmt w:val="decimal"/>
      <w:start w:val="7"/>
    </w:lvl>
  </w:abstractNum>
  <w:abstractNum w:abstractNumId="455">
    <w:nsid w:val="32766A55"/>
    <w:multiLevelType w:val="hybridMultilevel"/>
    <w:lvl w:ilvl="0">
      <w:lvlJc w:val="left"/>
      <w:lvlText w:val="%1."/>
      <w:numFmt w:val="decimal"/>
      <w:start w:val="9"/>
    </w:lvl>
  </w:abstractNum>
  <w:abstractNum w:abstractNumId="456">
    <w:nsid w:val="22D71957"/>
    <w:multiLevelType w:val="hybridMultilevel"/>
    <w:lvl w:ilvl="0">
      <w:lvlJc w:val="left"/>
      <w:lvlText w:val="%1."/>
      <w:numFmt w:val="decimal"/>
      <w:start w:val="11"/>
    </w:lvl>
  </w:abstractNum>
  <w:abstractNum w:abstractNumId="457">
    <w:nsid w:val="4CC1263B"/>
    <w:multiLevelType w:val="hybridMultilevel"/>
    <w:lvl w:ilvl="0">
      <w:lvlJc w:val="left"/>
      <w:lvlText w:val="%1."/>
      <w:numFmt w:val="decimal"/>
      <w:start w:val="13"/>
    </w:lvl>
  </w:abstractNum>
  <w:abstractNum w:abstractNumId="458">
    <w:nsid w:val="8BBEB1D"/>
    <w:multiLevelType w:val="hybridMultilevel"/>
    <w:lvl w:ilvl="0">
      <w:lvlJc w:val="left"/>
      <w:lvlText w:val="%1."/>
      <w:numFmt w:val="decimal"/>
      <w:start w:val="15"/>
    </w:lvl>
  </w:abstractNum>
  <w:abstractNum w:abstractNumId="459">
    <w:nsid w:val="7365F1EE"/>
    <w:multiLevelType w:val="hybridMultilevel"/>
    <w:lvl w:ilvl="0">
      <w:lvlJc w:val="left"/>
      <w:lvlText w:val="%1."/>
      <w:numFmt w:val="decimal"/>
      <w:start w:val="1"/>
    </w:lvl>
  </w:abstractNum>
  <w:abstractNum w:abstractNumId="460">
    <w:nsid w:val="37524CF0"/>
    <w:multiLevelType w:val="hybridMultilevel"/>
    <w:lvl w:ilvl="0">
      <w:lvlJc w:val="left"/>
      <w:lvlText w:val="%1."/>
      <w:numFmt w:val="decimal"/>
      <w:start w:val="3"/>
    </w:lvl>
  </w:abstractNum>
  <w:abstractNum w:abstractNumId="461">
    <w:nsid w:val="70CC332F"/>
    <w:multiLevelType w:val="hybridMultilevel"/>
    <w:lvl w:ilvl="0">
      <w:lvlJc w:val="left"/>
      <w:lvlText w:val="%1."/>
      <w:numFmt w:val="decimal"/>
      <w:start w:val="1"/>
    </w:lvl>
  </w:abstractNum>
  <w:abstractNum w:abstractNumId="462">
    <w:nsid w:val="5661786E"/>
    <w:multiLevelType w:val="hybridMultilevel"/>
    <w:lvl w:ilvl="0">
      <w:lvlJc w:val="left"/>
      <w:lvlText w:val="%1."/>
      <w:numFmt w:val="decimal"/>
      <w:start w:val="2"/>
    </w:lvl>
  </w:abstractNum>
  <w:abstractNum w:abstractNumId="463">
    <w:nsid w:val="3AF6A220"/>
    <w:multiLevelType w:val="hybridMultilevel"/>
    <w:lvl w:ilvl="0">
      <w:lvlJc w:val="left"/>
      <w:lvlText w:val="%1."/>
      <w:numFmt w:val="decimal"/>
      <w:start w:val="3"/>
    </w:lvl>
  </w:abstractNum>
  <w:abstractNum w:abstractNumId="464">
    <w:nsid w:val="3C5EA902"/>
    <w:multiLevelType w:val="hybridMultilevel"/>
    <w:lvl w:ilvl="0">
      <w:lvlJc w:val="left"/>
      <w:lvlText w:val="%1."/>
      <w:numFmt w:val="decimal"/>
      <w:start w:val="4"/>
    </w:lvl>
  </w:abstractNum>
  <w:abstractNum w:abstractNumId="465">
    <w:nsid w:val="256E6749"/>
    <w:multiLevelType w:val="hybridMultilevel"/>
    <w:lvl w:ilvl="0">
      <w:lvlJc w:val="left"/>
      <w:lvlText w:val="%1."/>
      <w:numFmt w:val="decimal"/>
      <w:start w:val="6"/>
    </w:lvl>
  </w:abstractNum>
  <w:abstractNum w:abstractNumId="466">
    <w:nsid w:val="1CB9A581"/>
    <w:multiLevelType w:val="hybridMultilevel"/>
    <w:lvl w:ilvl="0">
      <w:lvlJc w:val="left"/>
      <w:lvlText w:val="(%1)"/>
      <w:numFmt w:val="decimal"/>
      <w:start w:val="5"/>
    </w:lvl>
  </w:abstractNum>
  <w:abstractNum w:abstractNumId="467">
    <w:nsid w:val="1F7F42E2"/>
    <w:multiLevelType w:val="hybridMultilevel"/>
    <w:lvl w:ilvl="0">
      <w:lvlJc w:val="left"/>
      <w:lvlText w:val="%1."/>
      <w:numFmt w:val="decimal"/>
      <w:start w:val="7"/>
    </w:lvl>
  </w:abstractNum>
  <w:abstractNum w:abstractNumId="468">
    <w:nsid w:val="49D1FEA0"/>
    <w:multiLevelType w:val="hybridMultilevel"/>
    <w:lvl w:ilvl="0">
      <w:lvlJc w:val="left"/>
      <w:lvlText w:val="%1."/>
      <w:numFmt w:val="decimal"/>
      <w:start w:val="9"/>
    </w:lvl>
  </w:abstractNum>
  <w:abstractNum w:abstractNumId="469">
    <w:nsid w:val="268CB37F"/>
    <w:multiLevelType w:val="hybridMultilevel"/>
    <w:lvl w:ilvl="0">
      <w:lvlJc w:val="left"/>
      <w:lvlText w:val="%1."/>
      <w:numFmt w:val="decimal"/>
      <w:start w:val="11"/>
    </w:lvl>
  </w:abstractNum>
  <w:abstractNum w:abstractNumId="470">
    <w:nsid w:val="102362F8"/>
    <w:multiLevelType w:val="hybridMultilevel"/>
    <w:lvl w:ilvl="0">
      <w:lvlJc w:val="left"/>
      <w:lvlText w:val="%1."/>
      <w:numFmt w:val="decimal"/>
      <w:start w:val="14"/>
    </w:lvl>
  </w:abstractNum>
  <w:abstractNum w:abstractNumId="471">
    <w:nsid w:val="5FEDC0E3"/>
    <w:multiLevelType w:val="hybridMultilevel"/>
    <w:lvl w:ilvl="0">
      <w:lvlJc w:val="left"/>
      <w:lvlText w:val="%1."/>
      <w:numFmt w:val="decimal"/>
      <w:start w:val="16"/>
    </w:lvl>
  </w:abstractNum>
  <w:abstractNum w:abstractNumId="472">
    <w:nsid w:val="3D75BC47"/>
    <w:multiLevelType w:val="hybridMultilevel"/>
    <w:lvl w:ilvl="0">
      <w:lvlJc w:val="left"/>
      <w:lvlText w:val="%1."/>
      <w:numFmt w:val="decimal"/>
      <w:start w:val="1"/>
    </w:lvl>
  </w:abstractNum>
  <w:abstractNum w:abstractNumId="473">
    <w:nsid w:val="3E30D969"/>
    <w:multiLevelType w:val="hybridMultilevel"/>
    <w:lvl w:ilvl="0">
      <w:lvlJc w:val="left"/>
      <w:lvlText w:val="%1."/>
      <w:numFmt w:val="decimal"/>
      <w:start w:val="3"/>
    </w:lvl>
  </w:abstractNum>
  <w:abstractNum w:abstractNumId="474">
    <w:nsid w:val="18A35FE3"/>
    <w:multiLevelType w:val="hybridMultilevel"/>
    <w:lvl w:ilvl="0">
      <w:lvlJc w:val="left"/>
      <w:lvlText w:val="%1."/>
      <w:numFmt w:val="decimal"/>
      <w:start w:val="3"/>
    </w:lvl>
  </w:abstractNum>
  <w:abstractNum w:abstractNumId="475">
    <w:nsid w:val="6DEF5211"/>
    <w:multiLevelType w:val="hybridMultilevel"/>
    <w:lvl w:ilvl="0">
      <w:lvlJc w:val="left"/>
      <w:lvlText w:val="%1."/>
      <w:numFmt w:val="decimal"/>
      <w:start w:val="4"/>
    </w:lvl>
  </w:abstractNum>
  <w:abstractNum w:abstractNumId="476">
    <w:nsid w:val="1112DBB6"/>
    <w:multiLevelType w:val="hybridMultilevel"/>
    <w:lvl w:ilvl="0">
      <w:lvlJc w:val="left"/>
      <w:lvlText w:val="%1."/>
      <w:numFmt w:val="decimal"/>
      <w:start w:val="6"/>
    </w:lvl>
  </w:abstractNum>
  <w:abstractNum w:abstractNumId="477">
    <w:nsid w:val="2586A498"/>
    <w:multiLevelType w:val="hybridMultilevel"/>
    <w:lvl w:ilvl="0">
      <w:lvlJc w:val="left"/>
      <w:lvlText w:val="%1."/>
      <w:numFmt w:val="decimal"/>
      <w:start w:val="7"/>
    </w:lvl>
  </w:abstractNum>
  <w:abstractNum w:abstractNumId="478">
    <w:nsid w:val="17A03BB9"/>
    <w:multiLevelType w:val="hybridMultilevel"/>
    <w:lvl w:ilvl="0">
      <w:lvlJc w:val="left"/>
      <w:lvlText w:val="%1."/>
      <w:numFmt w:val="decimal"/>
      <w:start w:val="9"/>
    </w:lvl>
  </w:abstractNum>
  <w:abstractNum w:abstractNumId="479">
    <w:nsid w:val="5CA941"/>
    <w:multiLevelType w:val="hybridMultilevel"/>
    <w:lvl w:ilvl="0">
      <w:lvlJc w:val="left"/>
      <w:lvlText w:val="%1."/>
      <w:numFmt w:val="decimal"/>
      <w:start w:val="10"/>
    </w:lvl>
  </w:abstractNum>
  <w:abstractNum w:abstractNumId="480">
    <w:nsid w:val="734C7D9F"/>
    <w:multiLevelType w:val="hybridMultilevel"/>
    <w:lvl w:ilvl="0">
      <w:lvlJc w:val="left"/>
      <w:lvlText w:val="%1."/>
      <w:numFmt w:val="decimal"/>
      <w:start w:val="11"/>
    </w:lvl>
  </w:abstractNum>
  <w:abstractNum w:abstractNumId="481">
    <w:nsid w:val="24F5D018"/>
    <w:multiLevelType w:val="hybridMultilevel"/>
    <w:lvl w:ilvl="0">
      <w:lvlJc w:val="left"/>
      <w:lvlText w:val="%1."/>
      <w:numFmt w:val="decimal"/>
      <w:start w:val="14"/>
    </w:lvl>
  </w:abstractNum>
  <w:abstractNum w:abstractNumId="482">
    <w:nsid w:val="6780C122"/>
    <w:multiLevelType w:val="hybridMultilevel"/>
    <w:lvl w:ilvl="0">
      <w:lvlJc w:val="left"/>
      <w:lvlText w:val="%1."/>
      <w:numFmt w:val="decimal"/>
      <w:start w:val="16"/>
    </w:lvl>
  </w:abstractNum>
  <w:abstractNum w:abstractNumId="483">
    <w:nsid w:val="534347A8"/>
    <w:multiLevelType w:val="hybridMultilevel"/>
    <w:lvl w:ilvl="0">
      <w:lvlJc w:val="left"/>
      <w:lvlText w:val="%1."/>
      <w:numFmt w:val="decimal"/>
      <w:start w:val="1"/>
    </w:lvl>
  </w:abstractNum>
  <w:abstractNum w:abstractNumId="484">
    <w:nsid w:val="5800E34B"/>
    <w:multiLevelType w:val="hybridMultilevel"/>
    <w:lvl w:ilvl="0">
      <w:lvlJc w:val="left"/>
      <w:lvlText w:val="(%1)"/>
      <w:numFmt w:val="lowerLetter"/>
      <w:start w:val="1"/>
    </w:lvl>
  </w:abstractNum>
  <w:abstractNum w:abstractNumId="485">
    <w:nsid w:val="1673EFC8"/>
    <w:multiLevelType w:val="hybridMultilevel"/>
    <w:lvl w:ilvl="0">
      <w:lvlJc w:val="left"/>
      <w:lvlText w:val="%1."/>
      <w:numFmt w:val="decimal"/>
      <w:start w:val="5"/>
    </w:lvl>
  </w:abstractNum>
  <w:abstractNum w:abstractNumId="486">
    <w:nsid w:val="5B9B1FD"/>
    <w:multiLevelType w:val="hybridMultilevel"/>
    <w:lvl w:ilvl="0">
      <w:lvlJc w:val="left"/>
      <w:lvlText w:val="(%1)"/>
      <w:numFmt w:val="lowerLetter"/>
      <w:start w:val="1"/>
    </w:lvl>
  </w:abstractNum>
  <w:abstractNum w:abstractNumId="487">
    <w:nsid w:val="7AD7FCA2"/>
    <w:multiLevelType w:val="hybridMultilevel"/>
    <w:lvl w:ilvl="0">
      <w:lvlJc w:val="left"/>
      <w:lvlText w:val="%1."/>
      <w:numFmt w:val="decimal"/>
      <w:start w:val="1"/>
    </w:lvl>
  </w:abstractNum>
  <w:abstractNum w:abstractNumId="488">
    <w:nsid w:val="63351604"/>
    <w:multiLevelType w:val="hybridMultilevel"/>
    <w:lvl w:ilvl="0">
      <w:lvlJc w:val="left"/>
      <w:lvlText w:val="(%1)"/>
      <w:numFmt w:val="lowerLetter"/>
      <w:start w:val="1"/>
    </w:lvl>
  </w:abstractNum>
  <w:abstractNum w:abstractNumId="489">
    <w:nsid w:val="E759D1A"/>
    <w:multiLevelType w:val="hybridMultilevel"/>
    <w:lvl w:ilvl="0">
      <w:lvlJc w:val="left"/>
      <w:lvlText w:val="%1."/>
      <w:numFmt w:val="decimal"/>
      <w:start w:val="5"/>
    </w:lvl>
  </w:abstractNum>
  <w:abstractNum w:abstractNumId="490">
    <w:nsid w:val="6E3DEE90"/>
    <w:multiLevelType w:val="hybridMultilevel"/>
    <w:lvl w:ilvl="0">
      <w:lvlJc w:val="left"/>
      <w:lvlText w:val="(%1)"/>
      <w:numFmt w:val="lowerLetter"/>
      <w:start w:val="1"/>
    </w:lvl>
  </w:abstractNum>
  <w:abstractNum w:abstractNumId="491">
    <w:nsid w:val="1A8762F4"/>
    <w:multiLevelType w:val="hybridMultilevel"/>
    <w:lvl w:ilvl="0">
      <w:lvlJc w:val="left"/>
      <w:lvlText w:val="(%1)"/>
      <w:numFmt w:val="decimal"/>
      <w:start w:val="1"/>
    </w:lvl>
  </w:abstractNum>
  <w:abstractNum w:abstractNumId="492">
    <w:nsid w:val="7F41D0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6"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jpe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jpe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jpe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jpe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jpe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jpe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jpe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jpe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jpe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jpe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jpe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jpe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431" Type="http://schemas.openxmlformats.org/officeDocument/2006/relationships/image" Target="media/image392.png"/><Relationship Id="rId432" Type="http://schemas.openxmlformats.org/officeDocument/2006/relationships/image" Target="media/image393.png"/><Relationship Id="rId433" Type="http://schemas.openxmlformats.org/officeDocument/2006/relationships/image" Target="media/image394.png"/><Relationship Id="rId434" Type="http://schemas.openxmlformats.org/officeDocument/2006/relationships/image" Target="media/image395.png"/><Relationship Id="rId435" Type="http://schemas.openxmlformats.org/officeDocument/2006/relationships/image" Target="media/image396.png"/><Relationship Id="rId436" Type="http://schemas.openxmlformats.org/officeDocument/2006/relationships/image" Target="media/image397.png"/><Relationship Id="rId437" Type="http://schemas.openxmlformats.org/officeDocument/2006/relationships/image" Target="media/image398.png"/><Relationship Id="rId438"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45" Type="http://schemas.openxmlformats.org/officeDocument/2006/relationships/image" Target="media/image406.png"/><Relationship Id="rId446" Type="http://schemas.openxmlformats.org/officeDocument/2006/relationships/image" Target="media/image407.png"/><Relationship Id="rId447"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50" Type="http://schemas.openxmlformats.org/officeDocument/2006/relationships/image" Target="media/image411.png"/><Relationship Id="rId451" Type="http://schemas.openxmlformats.org/officeDocument/2006/relationships/image" Target="media/image412.png"/><Relationship Id="rId452" Type="http://schemas.openxmlformats.org/officeDocument/2006/relationships/image" Target="media/image413.png"/><Relationship Id="rId453" Type="http://schemas.openxmlformats.org/officeDocument/2006/relationships/image" Target="media/image414.png"/><Relationship Id="rId454" Type="http://schemas.openxmlformats.org/officeDocument/2006/relationships/image" Target="media/image415.png"/><Relationship Id="rId455" Type="http://schemas.openxmlformats.org/officeDocument/2006/relationships/image" Target="media/image416.png"/><Relationship Id="rId456" Type="http://schemas.openxmlformats.org/officeDocument/2006/relationships/image" Target="media/image417.png"/><Relationship Id="rId457" Type="http://schemas.openxmlformats.org/officeDocument/2006/relationships/image" Target="media/image418.png"/><Relationship Id="rId458"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1" Type="http://schemas.openxmlformats.org/officeDocument/2006/relationships/image" Target="media/image422.png"/><Relationship Id="rId462" Type="http://schemas.openxmlformats.org/officeDocument/2006/relationships/image" Target="media/image423.png"/><Relationship Id="rId463" Type="http://schemas.openxmlformats.org/officeDocument/2006/relationships/image" Target="media/image424.png"/><Relationship Id="rId464" Type="http://schemas.openxmlformats.org/officeDocument/2006/relationships/image" Target="media/image425.png"/><Relationship Id="rId465" Type="http://schemas.openxmlformats.org/officeDocument/2006/relationships/image" Target="media/image426.png"/><Relationship Id="rId466" Type="http://schemas.openxmlformats.org/officeDocument/2006/relationships/image" Target="media/image427.png"/><Relationship Id="rId467" Type="http://schemas.openxmlformats.org/officeDocument/2006/relationships/image" Target="media/image428.png"/><Relationship Id="rId468" Type="http://schemas.openxmlformats.org/officeDocument/2006/relationships/image" Target="media/image429.png"/><Relationship Id="rId469" Type="http://schemas.openxmlformats.org/officeDocument/2006/relationships/image" Target="media/image430.png"/><Relationship Id="rId470" Type="http://schemas.openxmlformats.org/officeDocument/2006/relationships/image" Target="media/image431.png"/><Relationship Id="rId471" Type="http://schemas.openxmlformats.org/officeDocument/2006/relationships/image" Target="media/image432.png"/><Relationship Id="rId472" Type="http://schemas.openxmlformats.org/officeDocument/2006/relationships/image" Target="media/image433.png"/><Relationship Id="rId473" Type="http://schemas.openxmlformats.org/officeDocument/2006/relationships/image" Target="media/image434.png"/><Relationship Id="rId474" Type="http://schemas.openxmlformats.org/officeDocument/2006/relationships/image" Target="media/image435.png"/><Relationship Id="rId475" Type="http://schemas.openxmlformats.org/officeDocument/2006/relationships/image" Target="media/image436.png"/><Relationship Id="rId476"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0"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3" Type="http://schemas.openxmlformats.org/officeDocument/2006/relationships/image" Target="media/image444.png"/><Relationship Id="rId484" Type="http://schemas.openxmlformats.org/officeDocument/2006/relationships/image" Target="media/image445.png"/><Relationship Id="rId485" Type="http://schemas.openxmlformats.org/officeDocument/2006/relationships/image" Target="media/image446.png"/><Relationship Id="rId486"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92" Type="http://schemas.openxmlformats.org/officeDocument/2006/relationships/image" Target="media/image453.png"/><Relationship Id="rId493" Type="http://schemas.openxmlformats.org/officeDocument/2006/relationships/image" Target="media/image454.png"/><Relationship Id="rId494"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2" Type="http://schemas.openxmlformats.org/officeDocument/2006/relationships/image" Target="media/image473.png"/><Relationship Id="rId513" Type="http://schemas.openxmlformats.org/officeDocument/2006/relationships/image" Target="media/image474.png"/><Relationship Id="rId514" Type="http://schemas.openxmlformats.org/officeDocument/2006/relationships/image" Target="media/image475.png"/><Relationship Id="rId515" Type="http://schemas.openxmlformats.org/officeDocument/2006/relationships/image" Target="media/image476.png"/><Relationship Id="rId516" Type="http://schemas.openxmlformats.org/officeDocument/2006/relationships/image" Target="media/image477.png"/><Relationship Id="rId517" Type="http://schemas.openxmlformats.org/officeDocument/2006/relationships/image" Target="media/image478.png"/><Relationship Id="rId518" Type="http://schemas.openxmlformats.org/officeDocument/2006/relationships/image" Target="media/image479.png"/><Relationship Id="rId519" Type="http://schemas.openxmlformats.org/officeDocument/2006/relationships/image" Target="media/image480.pn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526" Type="http://schemas.openxmlformats.org/officeDocument/2006/relationships/image" Target="media/image487.png"/><Relationship Id="rId527"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1" Type="http://schemas.openxmlformats.org/officeDocument/2006/relationships/image" Target="media/image492.png"/><Relationship Id="rId532" Type="http://schemas.openxmlformats.org/officeDocument/2006/relationships/image" Target="media/image493.png"/><Relationship Id="rId533" Type="http://schemas.openxmlformats.org/officeDocument/2006/relationships/image" Target="media/image494.png"/><Relationship Id="rId534" Type="http://schemas.openxmlformats.org/officeDocument/2006/relationships/image" Target="media/image495.png"/><Relationship Id="rId535" Type="http://schemas.openxmlformats.org/officeDocument/2006/relationships/image" Target="media/image496.png"/><Relationship Id="rId536" Type="http://schemas.openxmlformats.org/officeDocument/2006/relationships/image" Target="media/image497.png"/><Relationship Id="rId537" Type="http://schemas.openxmlformats.org/officeDocument/2006/relationships/image" Target="media/image498.png"/><Relationship Id="rId538" Type="http://schemas.openxmlformats.org/officeDocument/2006/relationships/image" Target="media/image499.png"/><Relationship Id="rId539" Type="http://schemas.openxmlformats.org/officeDocument/2006/relationships/image" Target="media/image500.png"/><Relationship Id="rId540" Type="http://schemas.openxmlformats.org/officeDocument/2006/relationships/image" Target="media/image501.png"/><Relationship Id="rId541" Type="http://schemas.openxmlformats.org/officeDocument/2006/relationships/image" Target="media/image502.png"/><Relationship Id="rId542" Type="http://schemas.openxmlformats.org/officeDocument/2006/relationships/image" Target="media/image503.png"/><Relationship Id="rId543" Type="http://schemas.openxmlformats.org/officeDocument/2006/relationships/image" Target="media/image504.png"/><Relationship Id="rId544" Type="http://schemas.openxmlformats.org/officeDocument/2006/relationships/image" Target="media/image505.png"/><Relationship Id="rId545" Type="http://schemas.openxmlformats.org/officeDocument/2006/relationships/image" Target="media/image506.png"/><Relationship Id="rId546" Type="http://schemas.openxmlformats.org/officeDocument/2006/relationships/image" Target="media/image507.png"/><Relationship Id="rId547" Type="http://schemas.openxmlformats.org/officeDocument/2006/relationships/image" Target="media/image508.png"/><Relationship Id="rId548" Type="http://schemas.openxmlformats.org/officeDocument/2006/relationships/image" Target="media/image509.png"/><Relationship Id="rId549" Type="http://schemas.openxmlformats.org/officeDocument/2006/relationships/image" Target="media/image510.png"/><Relationship Id="rId550" Type="http://schemas.openxmlformats.org/officeDocument/2006/relationships/image" Target="media/image511.png"/><Relationship Id="rId551" Type="http://schemas.openxmlformats.org/officeDocument/2006/relationships/image" Target="media/image512.png"/><Relationship Id="rId552" Type="http://schemas.openxmlformats.org/officeDocument/2006/relationships/image" Target="media/image513.png"/><Relationship Id="rId553" Type="http://schemas.openxmlformats.org/officeDocument/2006/relationships/image" Target="media/image514.png"/><Relationship Id="rId554" Type="http://schemas.openxmlformats.org/officeDocument/2006/relationships/image" Target="media/image515.png"/><Relationship Id="rId555" Type="http://schemas.openxmlformats.org/officeDocument/2006/relationships/image" Target="media/image516.png"/><Relationship Id="rId556" Type="http://schemas.openxmlformats.org/officeDocument/2006/relationships/image" Target="media/image517.png"/><Relationship Id="rId557" Type="http://schemas.openxmlformats.org/officeDocument/2006/relationships/image" Target="media/image518.png"/><Relationship Id="rId558" Type="http://schemas.openxmlformats.org/officeDocument/2006/relationships/image" Target="media/image519.png"/><Relationship Id="rId559" Type="http://schemas.openxmlformats.org/officeDocument/2006/relationships/image" Target="media/image520.png"/><Relationship Id="rId560" Type="http://schemas.openxmlformats.org/officeDocument/2006/relationships/image" Target="media/image521.png"/><Relationship Id="rId561" Type="http://schemas.openxmlformats.org/officeDocument/2006/relationships/image" Target="media/image522.png"/><Relationship Id="rId562" Type="http://schemas.openxmlformats.org/officeDocument/2006/relationships/image" Target="media/image523.png"/><Relationship Id="rId563" Type="http://schemas.openxmlformats.org/officeDocument/2006/relationships/image" Target="media/image524.png"/><Relationship Id="rId564" Type="http://schemas.openxmlformats.org/officeDocument/2006/relationships/image" Target="media/image525.png"/><Relationship Id="rId565" Type="http://schemas.openxmlformats.org/officeDocument/2006/relationships/image" Target="media/image526.png"/><Relationship Id="rId566" Type="http://schemas.openxmlformats.org/officeDocument/2006/relationships/image" Target="media/image527.png"/><Relationship Id="rId567" Type="http://schemas.openxmlformats.org/officeDocument/2006/relationships/image" Target="media/image528.png"/><Relationship Id="rId568" Type="http://schemas.openxmlformats.org/officeDocument/2006/relationships/image" Target="media/image529.png"/><Relationship Id="rId569" Type="http://schemas.openxmlformats.org/officeDocument/2006/relationships/image" Target="media/image530.png"/><Relationship Id="rId570" Type="http://schemas.openxmlformats.org/officeDocument/2006/relationships/image" Target="media/image531.png"/><Relationship Id="rId571" Type="http://schemas.openxmlformats.org/officeDocument/2006/relationships/image" Target="media/image532.png"/><Relationship Id="rId572" Type="http://schemas.openxmlformats.org/officeDocument/2006/relationships/image" Target="media/image533.png"/><Relationship Id="rId573" Type="http://schemas.openxmlformats.org/officeDocument/2006/relationships/image" Target="media/image534.png"/><Relationship Id="rId574" Type="http://schemas.openxmlformats.org/officeDocument/2006/relationships/image" Target="media/image535.png"/><Relationship Id="rId575" Type="http://schemas.openxmlformats.org/officeDocument/2006/relationships/image" Target="media/image536.png"/><Relationship Id="rId576" Type="http://schemas.openxmlformats.org/officeDocument/2006/relationships/image" Target="media/image537.png"/><Relationship Id="rId577" Type="http://schemas.openxmlformats.org/officeDocument/2006/relationships/image" Target="media/image538.png"/><Relationship Id="rId578" Type="http://schemas.openxmlformats.org/officeDocument/2006/relationships/image" Target="media/image539.png"/><Relationship Id="rId579" Type="http://schemas.openxmlformats.org/officeDocument/2006/relationships/image" Target="media/image540.png"/><Relationship Id="rId580" Type="http://schemas.openxmlformats.org/officeDocument/2006/relationships/image" Target="media/image541.png"/><Relationship Id="rId581" Type="http://schemas.openxmlformats.org/officeDocument/2006/relationships/image" Target="media/image542.png"/><Relationship Id="rId582" Type="http://schemas.openxmlformats.org/officeDocument/2006/relationships/image" Target="media/image543.png"/><Relationship Id="rId583" Type="http://schemas.openxmlformats.org/officeDocument/2006/relationships/image" Target="media/image544.png"/><Relationship Id="rId584" Type="http://schemas.openxmlformats.org/officeDocument/2006/relationships/image" Target="media/image545.png"/><Relationship Id="rId585" Type="http://schemas.openxmlformats.org/officeDocument/2006/relationships/image" Target="media/image546.png"/><Relationship Id="rId586" Type="http://schemas.openxmlformats.org/officeDocument/2006/relationships/image" Target="media/image547.png"/><Relationship Id="rId587" Type="http://schemas.openxmlformats.org/officeDocument/2006/relationships/image" Target="media/image548.png"/><Relationship Id="rId588" Type="http://schemas.openxmlformats.org/officeDocument/2006/relationships/image" Target="media/image549.png"/><Relationship Id="rId589" Type="http://schemas.openxmlformats.org/officeDocument/2006/relationships/image" Target="media/image550.png"/><Relationship Id="rId590" Type="http://schemas.openxmlformats.org/officeDocument/2006/relationships/image" Target="media/image551.png"/><Relationship Id="rId591" Type="http://schemas.openxmlformats.org/officeDocument/2006/relationships/image" Target="media/image552.png"/><Relationship Id="rId592" Type="http://schemas.openxmlformats.org/officeDocument/2006/relationships/image" Target="media/image553.png"/><Relationship Id="rId593" Type="http://schemas.openxmlformats.org/officeDocument/2006/relationships/image" Target="media/image554.png"/><Relationship Id="rId594" Type="http://schemas.openxmlformats.org/officeDocument/2006/relationships/image" Target="media/image555.png"/><Relationship Id="rId595" Type="http://schemas.openxmlformats.org/officeDocument/2006/relationships/image" Target="media/image556.png"/><Relationship Id="rId596" Type="http://schemas.openxmlformats.org/officeDocument/2006/relationships/image" Target="media/image557.png"/><Relationship Id="rId597" Type="http://schemas.openxmlformats.org/officeDocument/2006/relationships/image" Target="media/image558.png"/><Relationship Id="rId598" Type="http://schemas.openxmlformats.org/officeDocument/2006/relationships/image" Target="media/image559.png"/><Relationship Id="rId599" Type="http://schemas.openxmlformats.org/officeDocument/2006/relationships/image" Target="media/image560.png"/><Relationship Id="rId600" Type="http://schemas.openxmlformats.org/officeDocument/2006/relationships/image" Target="media/image561.png"/><Relationship Id="rId601" Type="http://schemas.openxmlformats.org/officeDocument/2006/relationships/image" Target="media/image562.png"/><Relationship Id="rId602" Type="http://schemas.openxmlformats.org/officeDocument/2006/relationships/image" Target="media/image563.png"/><Relationship Id="rId603" Type="http://schemas.openxmlformats.org/officeDocument/2006/relationships/image" Target="media/image564.png"/><Relationship Id="rId604" Type="http://schemas.openxmlformats.org/officeDocument/2006/relationships/image" Target="media/image565.png"/><Relationship Id="rId605" Type="http://schemas.openxmlformats.org/officeDocument/2006/relationships/image" Target="media/image566.png"/><Relationship Id="rId606" Type="http://schemas.openxmlformats.org/officeDocument/2006/relationships/image" Target="media/image567.png"/><Relationship Id="rId607" Type="http://schemas.openxmlformats.org/officeDocument/2006/relationships/image" Target="media/image568.png"/><Relationship Id="rId608" Type="http://schemas.openxmlformats.org/officeDocument/2006/relationships/image" Target="media/image569.png"/><Relationship Id="rId609" Type="http://schemas.openxmlformats.org/officeDocument/2006/relationships/image" Target="media/image570.png"/><Relationship Id="rId610" Type="http://schemas.openxmlformats.org/officeDocument/2006/relationships/image" Target="media/image571.png"/><Relationship Id="rId611" Type="http://schemas.openxmlformats.org/officeDocument/2006/relationships/image" Target="media/image572.png"/><Relationship Id="rId612" Type="http://schemas.openxmlformats.org/officeDocument/2006/relationships/image" Target="media/image573.png"/><Relationship Id="rId613" Type="http://schemas.openxmlformats.org/officeDocument/2006/relationships/image" Target="media/image574.png"/><Relationship Id="rId614" Type="http://schemas.openxmlformats.org/officeDocument/2006/relationships/image" Target="media/image575.png"/><Relationship Id="rId615" Type="http://schemas.openxmlformats.org/officeDocument/2006/relationships/image" Target="media/image576.png"/><Relationship Id="rId616" Type="http://schemas.openxmlformats.org/officeDocument/2006/relationships/image" Target="media/image577.png"/><Relationship Id="rId617" Type="http://schemas.openxmlformats.org/officeDocument/2006/relationships/image" Target="media/image578.png"/><Relationship Id="rId618" Type="http://schemas.openxmlformats.org/officeDocument/2006/relationships/image" Target="media/image579.png"/><Relationship Id="rId619" Type="http://schemas.openxmlformats.org/officeDocument/2006/relationships/image" Target="media/image580.png"/><Relationship Id="rId620" Type="http://schemas.openxmlformats.org/officeDocument/2006/relationships/image" Target="media/image581.png"/><Relationship Id="rId621" Type="http://schemas.openxmlformats.org/officeDocument/2006/relationships/image" Target="media/image582.png"/><Relationship Id="rId622" Type="http://schemas.openxmlformats.org/officeDocument/2006/relationships/image" Target="media/image583.png"/><Relationship Id="rId623" Type="http://schemas.openxmlformats.org/officeDocument/2006/relationships/image" Target="media/image584.png"/><Relationship Id="rId624" Type="http://schemas.openxmlformats.org/officeDocument/2006/relationships/image" Target="media/image585.png"/><Relationship Id="rId625" Type="http://schemas.openxmlformats.org/officeDocument/2006/relationships/image" Target="media/image586.png"/><Relationship Id="rId626" Type="http://schemas.openxmlformats.org/officeDocument/2006/relationships/image" Target="media/image587.png"/><Relationship Id="rId627" Type="http://schemas.openxmlformats.org/officeDocument/2006/relationships/image" Target="media/image588.png"/><Relationship Id="rId628" Type="http://schemas.openxmlformats.org/officeDocument/2006/relationships/image" Target="media/image589.png"/><Relationship Id="rId629" Type="http://schemas.openxmlformats.org/officeDocument/2006/relationships/image" Target="media/image590.png"/><Relationship Id="rId630" Type="http://schemas.openxmlformats.org/officeDocument/2006/relationships/image" Target="media/image591.png"/><Relationship Id="rId631" Type="http://schemas.openxmlformats.org/officeDocument/2006/relationships/image" Target="media/image592.png"/><Relationship Id="rId632" Type="http://schemas.openxmlformats.org/officeDocument/2006/relationships/image" Target="media/image593.png"/><Relationship Id="rId633" Type="http://schemas.openxmlformats.org/officeDocument/2006/relationships/image" Target="media/image594.png"/><Relationship Id="rId634" Type="http://schemas.openxmlformats.org/officeDocument/2006/relationships/image" Target="media/image595.png"/><Relationship Id="rId635" Type="http://schemas.openxmlformats.org/officeDocument/2006/relationships/image" Target="media/image596.png"/><Relationship Id="rId636" Type="http://schemas.openxmlformats.org/officeDocument/2006/relationships/image" Target="media/image597.png"/><Relationship Id="rId637" Type="http://schemas.openxmlformats.org/officeDocument/2006/relationships/image" Target="media/image598.png"/><Relationship Id="rId638" Type="http://schemas.openxmlformats.org/officeDocument/2006/relationships/image" Target="media/image599.png"/><Relationship Id="rId639" Type="http://schemas.openxmlformats.org/officeDocument/2006/relationships/image" Target="media/image600.png"/><Relationship Id="rId640" Type="http://schemas.openxmlformats.org/officeDocument/2006/relationships/image" Target="media/image601.png"/><Relationship Id="rId641" Type="http://schemas.openxmlformats.org/officeDocument/2006/relationships/image" Target="media/image602.png"/><Relationship Id="rId642" Type="http://schemas.openxmlformats.org/officeDocument/2006/relationships/image" Target="media/image603.png"/><Relationship Id="rId643" Type="http://schemas.openxmlformats.org/officeDocument/2006/relationships/image" Target="media/image604.png"/><Relationship Id="rId644" Type="http://schemas.openxmlformats.org/officeDocument/2006/relationships/image" Target="media/image605.png"/><Relationship Id="rId645" Type="http://schemas.openxmlformats.org/officeDocument/2006/relationships/image" Target="media/image606.png"/><Relationship Id="rId646" Type="http://schemas.openxmlformats.org/officeDocument/2006/relationships/image" Target="media/image607.png"/><Relationship Id="rId647" Type="http://schemas.openxmlformats.org/officeDocument/2006/relationships/image" Target="media/image608.png"/><Relationship Id="rId648" Type="http://schemas.openxmlformats.org/officeDocument/2006/relationships/image" Target="media/image609.png"/><Relationship Id="rId649" Type="http://schemas.openxmlformats.org/officeDocument/2006/relationships/image" Target="media/image610.png"/><Relationship Id="rId650" Type="http://schemas.openxmlformats.org/officeDocument/2006/relationships/image" Target="media/image611.png"/><Relationship Id="rId651" Type="http://schemas.openxmlformats.org/officeDocument/2006/relationships/image" Target="media/image612.png"/><Relationship Id="rId652" Type="http://schemas.openxmlformats.org/officeDocument/2006/relationships/image" Target="media/image613.png"/><Relationship Id="rId653" Type="http://schemas.openxmlformats.org/officeDocument/2006/relationships/image" Target="media/image614.png"/><Relationship Id="rId654" Type="http://schemas.openxmlformats.org/officeDocument/2006/relationships/image" Target="media/image615.png"/><Relationship Id="rId655" Type="http://schemas.openxmlformats.org/officeDocument/2006/relationships/image" Target="media/image616.png"/><Relationship Id="rId656" Type="http://schemas.openxmlformats.org/officeDocument/2006/relationships/image" Target="media/image617.png"/><Relationship Id="rId657" Type="http://schemas.openxmlformats.org/officeDocument/2006/relationships/image" Target="media/image618.png"/><Relationship Id="rId658" Type="http://schemas.openxmlformats.org/officeDocument/2006/relationships/image" Target="media/image619.png"/><Relationship Id="rId659" Type="http://schemas.openxmlformats.org/officeDocument/2006/relationships/image" Target="media/image620.png"/><Relationship Id="rId660" Type="http://schemas.openxmlformats.org/officeDocument/2006/relationships/image" Target="media/image621.png"/><Relationship Id="rId661" Type="http://schemas.openxmlformats.org/officeDocument/2006/relationships/image" Target="media/image622.png"/><Relationship Id="rId662" Type="http://schemas.openxmlformats.org/officeDocument/2006/relationships/image" Target="media/image623.png"/><Relationship Id="rId663" Type="http://schemas.openxmlformats.org/officeDocument/2006/relationships/image" Target="media/image624.png"/><Relationship Id="rId664" Type="http://schemas.openxmlformats.org/officeDocument/2006/relationships/image" Target="media/image625.png"/><Relationship Id="rId665" Type="http://schemas.openxmlformats.org/officeDocument/2006/relationships/image" Target="media/image626.png"/><Relationship Id="rId666" Type="http://schemas.openxmlformats.org/officeDocument/2006/relationships/image" Target="media/image627.png"/><Relationship Id="rId667" Type="http://schemas.openxmlformats.org/officeDocument/2006/relationships/image" Target="media/image628.png"/><Relationship Id="rId668" Type="http://schemas.openxmlformats.org/officeDocument/2006/relationships/image" Target="media/image629.png"/><Relationship Id="rId669" Type="http://schemas.openxmlformats.org/officeDocument/2006/relationships/image" Target="media/image630.png"/><Relationship Id="rId670" Type="http://schemas.openxmlformats.org/officeDocument/2006/relationships/image" Target="media/image631.png"/><Relationship Id="rId671" Type="http://schemas.openxmlformats.org/officeDocument/2006/relationships/image" Target="media/image632.png"/><Relationship Id="rId672" Type="http://schemas.openxmlformats.org/officeDocument/2006/relationships/image" Target="media/image633.png"/><Relationship Id="rId673" Type="http://schemas.openxmlformats.org/officeDocument/2006/relationships/image" Target="media/image634.png"/><Relationship Id="rId674" Type="http://schemas.openxmlformats.org/officeDocument/2006/relationships/image" Target="media/image635.png"/><Relationship Id="rId675" Type="http://schemas.openxmlformats.org/officeDocument/2006/relationships/image" Target="media/image636.png"/><Relationship Id="rId676" Type="http://schemas.openxmlformats.org/officeDocument/2006/relationships/image" Target="media/image637.png"/><Relationship Id="rId677" Type="http://schemas.openxmlformats.org/officeDocument/2006/relationships/image" Target="media/image638.png"/><Relationship Id="rId678" Type="http://schemas.openxmlformats.org/officeDocument/2006/relationships/image" Target="media/image639.png"/><Relationship Id="rId679" Type="http://schemas.openxmlformats.org/officeDocument/2006/relationships/image" Target="media/image640.png"/><Relationship Id="rId680" Type="http://schemas.openxmlformats.org/officeDocument/2006/relationships/image" Target="media/image641.png"/><Relationship Id="rId681" Type="http://schemas.openxmlformats.org/officeDocument/2006/relationships/image" Target="media/image642.png"/><Relationship Id="rId682" Type="http://schemas.openxmlformats.org/officeDocument/2006/relationships/image" Target="media/image643.png"/><Relationship Id="rId683" Type="http://schemas.openxmlformats.org/officeDocument/2006/relationships/image" Target="media/image644.png"/><Relationship Id="rId684" Type="http://schemas.openxmlformats.org/officeDocument/2006/relationships/image" Target="media/image645.png"/><Relationship Id="rId685" Type="http://schemas.openxmlformats.org/officeDocument/2006/relationships/image" Target="media/image646.png"/><Relationship Id="rId686" Type="http://schemas.openxmlformats.org/officeDocument/2006/relationships/image" Target="media/image647.png"/><Relationship Id="rId687" Type="http://schemas.openxmlformats.org/officeDocument/2006/relationships/image" Target="media/image648.png"/><Relationship Id="rId688" Type="http://schemas.openxmlformats.org/officeDocument/2006/relationships/image" Target="media/image649.png"/><Relationship Id="rId689" Type="http://schemas.openxmlformats.org/officeDocument/2006/relationships/image" Target="media/image650.png"/><Relationship Id="rId690" Type="http://schemas.openxmlformats.org/officeDocument/2006/relationships/image" Target="media/image651.png"/><Relationship Id="rId691" Type="http://schemas.openxmlformats.org/officeDocument/2006/relationships/image" Target="media/image652.png"/><Relationship Id="rId692" Type="http://schemas.openxmlformats.org/officeDocument/2006/relationships/image" Target="media/image653.png"/><Relationship Id="rId693" Type="http://schemas.openxmlformats.org/officeDocument/2006/relationships/image" Target="media/image654.png"/><Relationship Id="rId694" Type="http://schemas.openxmlformats.org/officeDocument/2006/relationships/image" Target="media/image655.png"/><Relationship Id="rId695" Type="http://schemas.openxmlformats.org/officeDocument/2006/relationships/image" Target="media/image656.png"/><Relationship Id="rId696" Type="http://schemas.openxmlformats.org/officeDocument/2006/relationships/image" Target="media/image657.png"/><Relationship Id="rId697" Type="http://schemas.openxmlformats.org/officeDocument/2006/relationships/image" Target="media/image658.png"/><Relationship Id="rId698" Type="http://schemas.openxmlformats.org/officeDocument/2006/relationships/image" Target="media/image659.png"/><Relationship Id="rId699" Type="http://schemas.openxmlformats.org/officeDocument/2006/relationships/image" Target="media/image660.png"/><Relationship Id="rId700" Type="http://schemas.openxmlformats.org/officeDocument/2006/relationships/image" Target="media/image661.png"/><Relationship Id="rId701" Type="http://schemas.openxmlformats.org/officeDocument/2006/relationships/image" Target="media/image662.png"/><Relationship Id="rId702" Type="http://schemas.openxmlformats.org/officeDocument/2006/relationships/image" Target="media/image663.png"/><Relationship Id="rId703" Type="http://schemas.openxmlformats.org/officeDocument/2006/relationships/image" Target="media/image664.png"/><Relationship Id="rId704" Type="http://schemas.openxmlformats.org/officeDocument/2006/relationships/image" Target="media/image665.png"/><Relationship Id="rId705" Type="http://schemas.openxmlformats.org/officeDocument/2006/relationships/image" Target="media/image666.png"/><Relationship Id="rId706" Type="http://schemas.openxmlformats.org/officeDocument/2006/relationships/image" Target="media/image667.png"/><Relationship Id="rId707" Type="http://schemas.openxmlformats.org/officeDocument/2006/relationships/image" Target="media/image668.png"/><Relationship Id="rId708" Type="http://schemas.openxmlformats.org/officeDocument/2006/relationships/image" Target="media/image669.png"/><Relationship Id="rId709" Type="http://schemas.openxmlformats.org/officeDocument/2006/relationships/image" Target="media/image670.png"/><Relationship Id="rId710" Type="http://schemas.openxmlformats.org/officeDocument/2006/relationships/image" Target="media/image671.png"/><Relationship Id="rId711" Type="http://schemas.openxmlformats.org/officeDocument/2006/relationships/image" Target="media/image672.png"/><Relationship Id="rId712" Type="http://schemas.openxmlformats.org/officeDocument/2006/relationships/image" Target="media/image673.png"/><Relationship Id="rId713" Type="http://schemas.openxmlformats.org/officeDocument/2006/relationships/image" Target="media/image674.png"/><Relationship Id="rId714" Type="http://schemas.openxmlformats.org/officeDocument/2006/relationships/image" Target="media/image675.png"/><Relationship Id="rId715" Type="http://schemas.openxmlformats.org/officeDocument/2006/relationships/image" Target="media/image676.png"/><Relationship Id="rId716" Type="http://schemas.openxmlformats.org/officeDocument/2006/relationships/image" Target="media/image677.png"/><Relationship Id="rId717" Type="http://schemas.openxmlformats.org/officeDocument/2006/relationships/image" Target="media/image678.png"/><Relationship Id="rId718" Type="http://schemas.openxmlformats.org/officeDocument/2006/relationships/image" Target="media/image679.png"/><Relationship Id="rId719" Type="http://schemas.openxmlformats.org/officeDocument/2006/relationships/image" Target="media/image680.png"/><Relationship Id="rId720" Type="http://schemas.openxmlformats.org/officeDocument/2006/relationships/image" Target="media/image681.png"/><Relationship Id="rId721" Type="http://schemas.openxmlformats.org/officeDocument/2006/relationships/image" Target="media/image682.png"/><Relationship Id="rId722" Type="http://schemas.openxmlformats.org/officeDocument/2006/relationships/image" Target="media/image683.png"/><Relationship Id="rId723" Type="http://schemas.openxmlformats.org/officeDocument/2006/relationships/image" Target="media/image684.png"/><Relationship Id="rId724" Type="http://schemas.openxmlformats.org/officeDocument/2006/relationships/image" Target="media/image685.png"/><Relationship Id="rId725" Type="http://schemas.openxmlformats.org/officeDocument/2006/relationships/image" Target="media/image686.png"/><Relationship Id="rId726" Type="http://schemas.openxmlformats.org/officeDocument/2006/relationships/image" Target="media/image687.png"/><Relationship Id="rId727" Type="http://schemas.openxmlformats.org/officeDocument/2006/relationships/image" Target="media/image688.png"/><Relationship Id="rId728" Type="http://schemas.openxmlformats.org/officeDocument/2006/relationships/image" Target="media/image689.png"/><Relationship Id="rId729" Type="http://schemas.openxmlformats.org/officeDocument/2006/relationships/image" Target="media/image690.png"/><Relationship Id="rId730" Type="http://schemas.openxmlformats.org/officeDocument/2006/relationships/image" Target="media/image691.png"/><Relationship Id="rId731" Type="http://schemas.openxmlformats.org/officeDocument/2006/relationships/image" Target="media/image692.png"/><Relationship Id="rId732" Type="http://schemas.openxmlformats.org/officeDocument/2006/relationships/image" Target="media/image693.png"/><Relationship Id="rId733" Type="http://schemas.openxmlformats.org/officeDocument/2006/relationships/image" Target="media/image694.png"/><Relationship Id="rId734" Type="http://schemas.openxmlformats.org/officeDocument/2006/relationships/image" Target="media/image695.png"/><Relationship Id="rId735" Type="http://schemas.openxmlformats.org/officeDocument/2006/relationships/image" Target="media/image696.png"/><Relationship Id="rId736" Type="http://schemas.openxmlformats.org/officeDocument/2006/relationships/image" Target="media/image697.png"/><Relationship Id="rId737" Type="http://schemas.openxmlformats.org/officeDocument/2006/relationships/image" Target="media/image698.png"/><Relationship Id="rId738" Type="http://schemas.openxmlformats.org/officeDocument/2006/relationships/image" Target="media/image699.png"/><Relationship Id="rId739" Type="http://schemas.openxmlformats.org/officeDocument/2006/relationships/image" Target="media/image700.png"/><Relationship Id="rId740" Type="http://schemas.openxmlformats.org/officeDocument/2006/relationships/image" Target="media/image701.png"/><Relationship Id="rId741" Type="http://schemas.openxmlformats.org/officeDocument/2006/relationships/image" Target="media/image702.png"/><Relationship Id="rId742" Type="http://schemas.openxmlformats.org/officeDocument/2006/relationships/image" Target="media/image703.png"/><Relationship Id="rId743" Type="http://schemas.openxmlformats.org/officeDocument/2006/relationships/image" Target="media/image704.png"/><Relationship Id="rId744" Type="http://schemas.openxmlformats.org/officeDocument/2006/relationships/image" Target="media/image705.png"/><Relationship Id="rId745" Type="http://schemas.openxmlformats.org/officeDocument/2006/relationships/image" Target="media/image706.png"/><Relationship Id="rId746" Type="http://schemas.openxmlformats.org/officeDocument/2006/relationships/image" Target="media/image707.png"/><Relationship Id="rId747" Type="http://schemas.openxmlformats.org/officeDocument/2006/relationships/image" Target="media/image708.png"/><Relationship Id="rId748" Type="http://schemas.openxmlformats.org/officeDocument/2006/relationships/image" Target="media/image709.png"/><Relationship Id="rId749" Type="http://schemas.openxmlformats.org/officeDocument/2006/relationships/image" Target="media/image710.png"/><Relationship Id="rId750" Type="http://schemas.openxmlformats.org/officeDocument/2006/relationships/image" Target="media/image711.png"/><Relationship Id="rId751" Type="http://schemas.openxmlformats.org/officeDocument/2006/relationships/image" Target="media/image712.png"/><Relationship Id="rId752" Type="http://schemas.openxmlformats.org/officeDocument/2006/relationships/image" Target="media/image713.png"/><Relationship Id="rId753" Type="http://schemas.openxmlformats.org/officeDocument/2006/relationships/image" Target="media/image714.png"/><Relationship Id="rId754" Type="http://schemas.openxmlformats.org/officeDocument/2006/relationships/image" Target="media/image715.png"/><Relationship Id="rId755" Type="http://schemas.openxmlformats.org/officeDocument/2006/relationships/image" Target="media/image716.png"/><Relationship Id="rId756" Type="http://schemas.openxmlformats.org/officeDocument/2006/relationships/image" Target="media/image717.png"/><Relationship Id="rId757" Type="http://schemas.openxmlformats.org/officeDocument/2006/relationships/image" Target="media/image718.png"/><Relationship Id="rId758" Type="http://schemas.openxmlformats.org/officeDocument/2006/relationships/image" Target="media/image719.png"/><Relationship Id="rId759" Type="http://schemas.openxmlformats.org/officeDocument/2006/relationships/image" Target="media/image720.png"/><Relationship Id="rId760" Type="http://schemas.openxmlformats.org/officeDocument/2006/relationships/image" Target="media/image721.png"/><Relationship Id="rId761" Type="http://schemas.openxmlformats.org/officeDocument/2006/relationships/image" Target="media/image722.png"/><Relationship Id="rId762" Type="http://schemas.openxmlformats.org/officeDocument/2006/relationships/image" Target="media/image723.png"/><Relationship Id="rId763" Type="http://schemas.openxmlformats.org/officeDocument/2006/relationships/image" Target="media/image724.png"/><Relationship Id="rId764" Type="http://schemas.openxmlformats.org/officeDocument/2006/relationships/image" Target="media/image725.png"/><Relationship Id="rId765" Type="http://schemas.openxmlformats.org/officeDocument/2006/relationships/image" Target="media/image726.png"/><Relationship Id="rId766" Type="http://schemas.openxmlformats.org/officeDocument/2006/relationships/image" Target="media/image727.png"/><Relationship Id="rId767" Type="http://schemas.openxmlformats.org/officeDocument/2006/relationships/image" Target="media/image728.png"/><Relationship Id="rId768" Type="http://schemas.openxmlformats.org/officeDocument/2006/relationships/image" Target="media/image729.png"/><Relationship Id="rId769" Type="http://schemas.openxmlformats.org/officeDocument/2006/relationships/image" Target="media/image730.png"/><Relationship Id="rId770" Type="http://schemas.openxmlformats.org/officeDocument/2006/relationships/image" Target="media/image731.png"/><Relationship Id="rId771" Type="http://schemas.openxmlformats.org/officeDocument/2006/relationships/image" Target="media/image732.png"/><Relationship Id="rId772" Type="http://schemas.openxmlformats.org/officeDocument/2006/relationships/image" Target="media/image733.png"/><Relationship Id="rId773" Type="http://schemas.openxmlformats.org/officeDocument/2006/relationships/image" Target="media/image734.png"/><Relationship Id="rId774" Type="http://schemas.openxmlformats.org/officeDocument/2006/relationships/image" Target="media/image735.png"/><Relationship Id="rId775" Type="http://schemas.openxmlformats.org/officeDocument/2006/relationships/image" Target="media/image736.png"/><Relationship Id="rId776" Type="http://schemas.openxmlformats.org/officeDocument/2006/relationships/image" Target="media/image737.png"/><Relationship Id="rId777" Type="http://schemas.openxmlformats.org/officeDocument/2006/relationships/image" Target="media/image738.png"/><Relationship Id="rId778" Type="http://schemas.openxmlformats.org/officeDocument/2006/relationships/image" Target="media/image739.png"/><Relationship Id="rId779" Type="http://schemas.openxmlformats.org/officeDocument/2006/relationships/image" Target="media/image740.png"/><Relationship Id="rId780" Type="http://schemas.openxmlformats.org/officeDocument/2006/relationships/image" Target="media/image741.png"/><Relationship Id="rId781" Type="http://schemas.openxmlformats.org/officeDocument/2006/relationships/image" Target="media/image742.png"/><Relationship Id="rId782" Type="http://schemas.openxmlformats.org/officeDocument/2006/relationships/image" Target="media/image743.png"/><Relationship Id="rId783" Type="http://schemas.openxmlformats.org/officeDocument/2006/relationships/image" Target="media/image744.png"/><Relationship Id="rId784" Type="http://schemas.openxmlformats.org/officeDocument/2006/relationships/image" Target="media/image745.png"/><Relationship Id="rId785" Type="http://schemas.openxmlformats.org/officeDocument/2006/relationships/image" Target="media/image746.png"/><Relationship Id="rId786" Type="http://schemas.openxmlformats.org/officeDocument/2006/relationships/image" Target="media/image747.png"/><Relationship Id="rId787" Type="http://schemas.openxmlformats.org/officeDocument/2006/relationships/image" Target="media/image748.png"/><Relationship Id="rId788" Type="http://schemas.openxmlformats.org/officeDocument/2006/relationships/image" Target="media/image749.png"/><Relationship Id="rId789" Type="http://schemas.openxmlformats.org/officeDocument/2006/relationships/image" Target="media/image750.png"/><Relationship Id="rId790" Type="http://schemas.openxmlformats.org/officeDocument/2006/relationships/image" Target="media/image751.png"/><Relationship Id="rId791" Type="http://schemas.openxmlformats.org/officeDocument/2006/relationships/image" Target="media/image752.png"/><Relationship Id="rId792" Type="http://schemas.openxmlformats.org/officeDocument/2006/relationships/image" Target="media/image753.png"/><Relationship Id="rId793" Type="http://schemas.openxmlformats.org/officeDocument/2006/relationships/image" Target="media/image754.png"/><Relationship Id="rId794" Type="http://schemas.openxmlformats.org/officeDocument/2006/relationships/image" Target="media/image755.png"/><Relationship Id="rId795" Type="http://schemas.openxmlformats.org/officeDocument/2006/relationships/image" Target="media/image756.png"/><Relationship Id="rId796" Type="http://schemas.openxmlformats.org/officeDocument/2006/relationships/image" Target="media/image757.png"/><Relationship Id="rId797" Type="http://schemas.openxmlformats.org/officeDocument/2006/relationships/image" Target="media/image758.png"/><Relationship Id="rId798" Type="http://schemas.openxmlformats.org/officeDocument/2006/relationships/image" Target="media/image759.png"/><Relationship Id="rId799" Type="http://schemas.openxmlformats.org/officeDocument/2006/relationships/image" Target="media/image760.png"/><Relationship Id="rId800" Type="http://schemas.openxmlformats.org/officeDocument/2006/relationships/image" Target="media/image761.png"/><Relationship Id="rId801" Type="http://schemas.openxmlformats.org/officeDocument/2006/relationships/image" Target="media/image762.png"/><Relationship Id="rId802" Type="http://schemas.openxmlformats.org/officeDocument/2006/relationships/image" Target="media/image763.png"/><Relationship Id="rId803" Type="http://schemas.openxmlformats.org/officeDocument/2006/relationships/image" Target="media/image764.png"/><Relationship Id="rId804" Type="http://schemas.openxmlformats.org/officeDocument/2006/relationships/image" Target="media/image765.png"/><Relationship Id="rId805" Type="http://schemas.openxmlformats.org/officeDocument/2006/relationships/image" Target="media/image766.png"/><Relationship Id="rId806" Type="http://schemas.openxmlformats.org/officeDocument/2006/relationships/image" Target="media/image767.png"/><Relationship Id="rId807" Type="http://schemas.openxmlformats.org/officeDocument/2006/relationships/image" Target="media/image768.png"/><Relationship Id="rId808" Type="http://schemas.openxmlformats.org/officeDocument/2006/relationships/image" Target="media/image769.png"/><Relationship Id="rId809" Type="http://schemas.openxmlformats.org/officeDocument/2006/relationships/image" Target="media/image770.png"/><Relationship Id="rId810" Type="http://schemas.openxmlformats.org/officeDocument/2006/relationships/image" Target="media/image771.png"/><Relationship Id="rId811" Type="http://schemas.openxmlformats.org/officeDocument/2006/relationships/image" Target="media/image772.png"/><Relationship Id="rId812" Type="http://schemas.openxmlformats.org/officeDocument/2006/relationships/image" Target="media/image773.png"/><Relationship Id="rId813" Type="http://schemas.openxmlformats.org/officeDocument/2006/relationships/image" Target="media/image774.jpeg"/><Relationship Id="rId814" Type="http://schemas.openxmlformats.org/officeDocument/2006/relationships/image" Target="media/image775.png"/><Relationship Id="rId815" Type="http://schemas.openxmlformats.org/officeDocument/2006/relationships/image" Target="media/image776.jpeg"/><Relationship Id="rId816" Type="http://schemas.openxmlformats.org/officeDocument/2006/relationships/image" Target="media/image777.png"/><Relationship Id="rId817" Type="http://schemas.openxmlformats.org/officeDocument/2006/relationships/image" Target="media/image778.png"/><Relationship Id="rId818" Type="http://schemas.openxmlformats.org/officeDocument/2006/relationships/image" Target="media/image779.png"/><Relationship Id="rId192" Type="http://schemas.openxmlformats.org/officeDocument/2006/relationships/hyperlink" Target="https://www.sec.gov/Archives/edgar/data/1510593/000104746914005550/a2220429zex-3_2.htm" TargetMode="External"/><Relationship Id="rId193" Type="http://schemas.openxmlformats.org/officeDocument/2006/relationships/hyperlink" Target="https://www.sec.gov/Archives/edgar/data/1474274/000119380524001458/e664072_ex99-a.htm" TargetMode="External"/><Relationship Id="rId194" Type="http://schemas.openxmlformats.org/officeDocument/2006/relationships/hyperlink" Target="https://www.sec.gov/Archives/edgar/data/1510593/000104746914005550/a2220429zex-4_2.htm" TargetMode="External"/><Relationship Id="rId195" Type="http://schemas.openxmlformats.org/officeDocument/2006/relationships/hyperlink" Target="https://www.sec.gov/Archives/edgar/data/1510593/000110465924086118/tm2420975d1_ex10-1.htm" TargetMode="External"/><Relationship Id="rId196" Type="http://schemas.openxmlformats.org/officeDocument/2006/relationships/hyperlink" Target="https://www.sec.gov/Archives/edgar/data/1510593/000104746914005550/a2220429zex-10_7.htm" TargetMode="External"/><Relationship Id="rId197" Type="http://schemas.openxmlformats.org/officeDocument/2006/relationships/hyperlink" Target="https://www.sec.gov/Archives/edgar/data/1510593/000104746914005550/a2220429zex-10_8.htm" TargetMode="External"/><Relationship Id="rId198" Type="http://schemas.openxmlformats.org/officeDocument/2006/relationships/hyperlink" Target="https://www.sec.gov/Archives/edgar/data/1510593/000114420417021264/v467702_ex4-15.htm" TargetMode="External"/><Relationship Id="rId199" Type="http://schemas.openxmlformats.org/officeDocument/2006/relationships/hyperlink" Target="https://www.sec.gov/Archives/edgar/data/1510593/000104746914005160/a2220117zex-10_10.htm" TargetMode="External"/><Relationship Id="rId200" Type="http://schemas.openxmlformats.org/officeDocument/2006/relationships/hyperlink" Target="https://www.sec.gov/Archives/edgar/data/1510593/000104746914005160/a2220117zex-10_11.htm" TargetMode="External"/><Relationship Id="rId201" Type="http://schemas.openxmlformats.org/officeDocument/2006/relationships/hyperlink" Target="https://www.sec.gov/Archives/edgar/data/1510593/000104746914005160/a2220117zex-10_12.htm" TargetMode="External"/><Relationship Id="rId202" Type="http://schemas.openxmlformats.org/officeDocument/2006/relationships/hyperlink" Target="https://www.sec.gov/Archives/edgar/data/1510593/000104746914005160/a2220117zex-10_13.htm" TargetMode="External"/><Relationship Id="rId203" Type="http://schemas.openxmlformats.org/officeDocument/2006/relationships/hyperlink" Target="https://www.sec.gov/Archives/edgar/data/1510593/000104746914005160/a2220117zex-10_14.htm" TargetMode="External"/><Relationship Id="rId204" Type="http://schemas.openxmlformats.org/officeDocument/2006/relationships/hyperlink" Target="https://www.sec.gov/Archives/edgar/data/1510593/000104746914005160/a2220117zex-10_15.htm" TargetMode="External"/><Relationship Id="rId205" Type="http://schemas.openxmlformats.org/officeDocument/2006/relationships/hyperlink" Target="https://www.sec.gov/Archives/edgar/data/1510593/000104746914005160/a2220117zex-10_18.htm" TargetMode="External"/><Relationship Id="rId207" Type="http://schemas.openxmlformats.org/officeDocument/2006/relationships/hyperlink" Target="https://www.sec.gov/Archives/edgar/data/1510593/000104746914005160/a2220117zex-10_19.htm" TargetMode="External"/><Relationship Id="rId208" Type="http://schemas.openxmlformats.org/officeDocument/2006/relationships/hyperlink" Target="https://www.sec.gov/Archives/edgar/data/1510593/000104746914005160/a2220117zex-10_20.htm" TargetMode="External"/><Relationship Id="rId209" Type="http://schemas.openxmlformats.org/officeDocument/2006/relationships/hyperlink" Target="https://www.sec.gov/Archives/edgar/data/1510593/000104746914005160/a2220117zex-10_21.htm" TargetMode="External"/><Relationship Id="rId210" Type="http://schemas.openxmlformats.org/officeDocument/2006/relationships/hyperlink" Target="https://www.sec.gov/Archives/edgar/data/1510593/000141057822001066/tmb-20211231xex4d44.htm" TargetMode="External"/><Relationship Id="rId211" Type="http://schemas.openxmlformats.org/officeDocument/2006/relationships/hyperlink" Target="https://www.sec.gov/Archives/edgar/data/1510593/000141057822001066/tmb-20211231xex4d45.htm" TargetMode="External"/><Relationship Id="rId212" Type="http://schemas.openxmlformats.org/officeDocument/2006/relationships/hyperlink" Target="https://www.sec.gov/Archives/edgar/data/1510593/000141057822001066/tmb-20211231xex4d46.htm" TargetMode="External"/><Relationship Id="rId213" Type="http://schemas.openxmlformats.org/officeDocument/2006/relationships/hyperlink" Target="https://www.sec.gov/Archives/edgar/data/1510593/000141057822001066/tmb-20211231xex4d47.htm" TargetMode="External"/><Relationship Id="rId214" Type="http://schemas.openxmlformats.org/officeDocument/2006/relationships/hyperlink" Target="https://www.sec.gov/Archives/edgar/data/1510593/000141057822001066/tmb-20211231xex4d48.htm" TargetMode="External"/><Relationship Id="rId215" Type="http://schemas.openxmlformats.org/officeDocument/2006/relationships/hyperlink" Target="https://www.sec.gov/Archives/edgar/data/1510593/000141057822001066/tmb-20211231xex4d49.htm" TargetMode="External"/><Relationship Id="rId216" Type="http://schemas.openxmlformats.org/officeDocument/2006/relationships/hyperlink" Target="https://www.sec.gov/Archives/edgar/data/1510593/000141057822001066/tmb-20211231xex4d50.htm" TargetMode="External"/><Relationship Id="rId217" Type="http://schemas.openxmlformats.org/officeDocument/2006/relationships/hyperlink" Target="https://www.sec.gov/Archives/edgar/data/1510593/000141057822001066/tmb-20211231xex4d51.htm" TargetMode="External"/><Relationship Id="rId218" Type="http://schemas.openxmlformats.org/officeDocument/2006/relationships/hyperlink" Target="https://www.sec.gov/Archives/edgar/data/1510593/000110465924050566/xnet-20231231xex4d25.htm" TargetMode="External"/><Relationship Id="rId219" Type="http://schemas.openxmlformats.org/officeDocument/2006/relationships/hyperlink" Target="https://www.sec.gov/Archives/edgar/data/1510593/000141057825000871/xnet-20241231xex4d28.htm" TargetMode="External"/><Relationship Id="rId220" Type="http://schemas.openxmlformats.org/officeDocument/2006/relationships/hyperlink" Target="https://www.sec.gov/Archives/edgar/data/1510593/000141057825000871/xnet-20241231xex4d30.htm" TargetMode="External"/><Relationship Id="rId221" Type="http://schemas.openxmlformats.org/officeDocument/2006/relationships/hyperlink" Target="https://www.sec.gov/Archives/edgar/data/1510593/000141057825000871/xnet-20241231xex4d31.htm" TargetMode="External"/><Relationship Id="rId222" Type="http://schemas.openxmlformats.org/officeDocument/2006/relationships/hyperlink" Target="https://www.sec.gov/Archives/edgar/data/1510593/000104746914005550/a2220429zex-99_1.htm" TargetMode="External"/><Relationship Id="rId223" Type="http://schemas.openxmlformats.org/officeDocument/2006/relationships/hyperlink" Target="https://www.sec.gov/Archives/edgar/data/1510593/000141057825000871/xnet-20241231xex11d2.htm" TargetMode="External"/><Relationship Id="rId224" Type="http://schemas.openxmlformats.org/officeDocument/2006/relationships/hyperlink" Target="https://www.sec.gov/Archives/edgar/data/1510593/000110465924050566/xne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2026-04-28T15:41:02Z</dcterms:created>
  <dcterms:modified xsi:type="dcterms:W3CDTF">2026-04-28T15:41:02Z</dcterms:modified>
</cp:coreProperties>
</file>