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9040-5_3seq1.xml.htm"/>
      <w:bookmarkStart w:id="1" w:name="kstm2690405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Shi Peng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21F, 3709 BAISHI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Xunlei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XNET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2"/>
        <w:gridCol w:w="1956"/>
        <w:gridCol w:w="1155"/>
        <w:gridCol w:w="2652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Depository Shares ("ADS")</w:t>
            </w:r>
          </w:p>
        </w:tc>
        <w:tc>
          <w:tcPr>
            <w:tcW w:w="1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12"/>
        <w:gridCol w:w="1222"/>
        <w:gridCol w:w="1124"/>
        <w:gridCol w:w="1454"/>
        <w:gridCol w:w="970"/>
        <w:gridCol w:w="1257"/>
        <w:gridCol w:w="1216"/>
        <w:gridCol w:w="1350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42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 ("RSU")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Depository Shares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 units("RSU") were granted on August 6, 2025 and will vest 100,000 ADSs on August 6, 2026, August 6, 2027, and August 6, 2028,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RSU/ADS represents five Class A common shares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Peng Shi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7504" TargetMode="External"/><Relationship Id="rId3" Type="http://schemas.openxmlformats.org/officeDocument/2006/relationships/hyperlink" Target="http://www.sec.gov/cgi-bin/browse-edgar?action=getcompany&amp;CIK=000151059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433</Words>
  <Characters>2367</Characters>
  <CharactersWithSpaces>2755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